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B Mitra" w:hAnsiTheme="majorBidi" w:cs="B Mitra"/>
          <w:b w:val="0"/>
          <w:bCs w:val="0"/>
          <w:color w:val="auto"/>
          <w:rtl/>
          <w:lang w:eastAsia="en-US"/>
        </w:rPr>
        <w:id w:val="-954095086"/>
        <w:docPartObj>
          <w:docPartGallery w:val="Table of Contents"/>
          <w:docPartUnique/>
        </w:docPartObj>
      </w:sdtPr>
      <w:sdtEndPr>
        <w:rPr>
          <w:rFonts w:cs="B Lotus"/>
          <w:noProof/>
        </w:rPr>
      </w:sdtEndPr>
      <w:sdtContent>
        <w:p w:rsidR="000D2859" w:rsidRDefault="000D2859" w:rsidP="000D2859">
          <w:pPr>
            <w:pStyle w:val="TOCHeading"/>
            <w:bidi/>
            <w:ind w:left="-2430"/>
            <w:jc w:val="center"/>
            <w:rPr>
              <w:rFonts w:asciiTheme="majorBidi" w:eastAsia="B Mitra" w:hAnsiTheme="majorBidi" w:cs="B Mitra"/>
              <w:b w:val="0"/>
              <w:bCs w:val="0"/>
              <w:color w:val="auto"/>
              <w:lang w:eastAsia="en-US"/>
            </w:rPr>
          </w:pPr>
          <w:r w:rsidRPr="000D2859">
            <w:rPr>
              <w:rFonts w:asciiTheme="majorBidi" w:eastAsia="B Mitra" w:hAnsiTheme="majorBidi" w:cs="B Mitra"/>
              <w:b w:val="0"/>
              <w:bCs w:val="0"/>
              <w:noProof/>
              <w:color w:val="auto"/>
              <w:rtl/>
              <w:lang w:eastAsia="en-US"/>
            </w:rPr>
            <w:drawing>
              <wp:inline distT="0" distB="0" distL="0" distR="0">
                <wp:extent cx="7628890" cy="8096250"/>
                <wp:effectExtent l="0" t="0" r="0" b="0"/>
                <wp:docPr id="1" name="Picture 1" descr="C:\Users\Golnari\Desktop\ěÁ-üěş-ç ě¦-ć-łěž-ć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nari\Desktop\ěÁ-üěş-ç ě¦-ć-łěž-ć_Pag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1356" cy="8109480"/>
                        </a:xfrm>
                        <a:prstGeom prst="rect">
                          <a:avLst/>
                        </a:prstGeom>
                        <a:noFill/>
                        <a:ln>
                          <a:noFill/>
                        </a:ln>
                      </pic:spPr>
                    </pic:pic>
                  </a:graphicData>
                </a:graphic>
              </wp:inline>
            </w:drawing>
          </w:r>
        </w:p>
        <w:p w:rsidR="000D2859" w:rsidRDefault="000D2859" w:rsidP="000D2859">
          <w:pPr>
            <w:bidi/>
            <w:ind w:left="-2340"/>
            <w:rPr>
              <w:rtl/>
            </w:rPr>
          </w:pPr>
          <w:r w:rsidRPr="000D2859">
            <w:rPr>
              <w:noProof/>
              <w:rtl/>
            </w:rPr>
            <w:lastRenderedPageBreak/>
            <w:drawing>
              <wp:inline distT="0" distB="0" distL="0" distR="0">
                <wp:extent cx="7572375" cy="9886950"/>
                <wp:effectExtent l="0" t="0" r="0" b="0"/>
                <wp:docPr id="2" name="Picture 2" descr="C:\Users\Golnari\Desktop\ěÁ-üěş-ç ě¦-ć-łěž-ć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nari\Desktop\ěÁ-üěş-ç ě¦-ć-łěž-ć_Pag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4127" cy="9889238"/>
                        </a:xfrm>
                        <a:prstGeom prst="rect">
                          <a:avLst/>
                        </a:prstGeom>
                        <a:noFill/>
                        <a:ln>
                          <a:noFill/>
                        </a:ln>
                      </pic:spPr>
                    </pic:pic>
                  </a:graphicData>
                </a:graphic>
              </wp:inline>
            </w:drawing>
          </w:r>
        </w:p>
        <w:p w:rsidR="000D2859" w:rsidRDefault="000D2859" w:rsidP="00963790">
          <w:pPr>
            <w:pStyle w:val="TOCHeading"/>
            <w:bidi/>
            <w:rPr>
              <w:lang w:bidi="fa-IR"/>
            </w:rPr>
          </w:pPr>
        </w:p>
        <w:p w:rsidR="00F57986" w:rsidRPr="00641AA7" w:rsidRDefault="000129A5" w:rsidP="000D2859">
          <w:pPr>
            <w:pStyle w:val="TOCHeading"/>
            <w:bidi/>
            <w:rPr>
              <w:rtl/>
              <w:lang w:bidi="fa-IR"/>
            </w:rPr>
          </w:pPr>
          <w:r w:rsidRPr="00641AA7">
            <w:rPr>
              <w:rFonts w:hint="cs"/>
              <w:rtl/>
              <w:lang w:bidi="fa-IR"/>
            </w:rPr>
            <w:t>فهرست مطالب</w:t>
          </w:r>
        </w:p>
        <w:p w:rsidR="00641AA7" w:rsidRPr="00641AA7" w:rsidRDefault="00E33025" w:rsidP="00AA4D6F">
          <w:pPr>
            <w:pStyle w:val="TOC2"/>
            <w:tabs>
              <w:tab w:val="right" w:leader="dot" w:pos="7910"/>
            </w:tabs>
            <w:bidi/>
            <w:rPr>
              <w:rFonts w:eastAsiaTheme="minorEastAsia" w:cs="B Nazanin"/>
              <w:smallCaps w:val="0"/>
              <w:noProof/>
              <w:sz w:val="22"/>
              <w:szCs w:val="22"/>
            </w:rPr>
          </w:pPr>
          <w:r w:rsidRPr="00641AA7">
            <w:rPr>
              <w:rFonts w:cs="B Nazanin"/>
              <w:smallCaps w:val="0"/>
            </w:rPr>
            <w:fldChar w:fldCharType="begin"/>
          </w:r>
          <w:r w:rsidR="00641AA7" w:rsidRPr="00641AA7">
            <w:rPr>
              <w:rFonts w:cs="B Nazanin"/>
              <w:smallCaps w:val="0"/>
            </w:rPr>
            <w:instrText xml:space="preserve"> TOC \o "1-3" \h \z \u </w:instrText>
          </w:r>
          <w:r w:rsidRPr="00641AA7">
            <w:rPr>
              <w:rFonts w:cs="B Nazanin"/>
              <w:smallCaps w:val="0"/>
            </w:rPr>
            <w:fldChar w:fldCharType="separate"/>
          </w:r>
          <w:hyperlink w:anchor="_Toc397212628" w:history="1">
            <w:r w:rsidR="00641AA7" w:rsidRPr="00641AA7">
              <w:rPr>
                <w:rStyle w:val="Hyperlink"/>
                <w:rFonts w:cs="B Nazanin" w:hint="eastAsia"/>
                <w:noProof/>
                <w:rtl/>
                <w:lang w:bidi="fa-IR"/>
              </w:rPr>
              <w:t>چک</w:t>
            </w:r>
            <w:r w:rsidR="00641AA7" w:rsidRPr="00641AA7">
              <w:rPr>
                <w:rStyle w:val="Hyperlink"/>
                <w:rFonts w:cs="B Nazanin" w:hint="cs"/>
                <w:noProof/>
                <w:rtl/>
                <w:lang w:bidi="fa-IR"/>
              </w:rPr>
              <w:t>ی</w:t>
            </w:r>
            <w:r w:rsidR="00641AA7" w:rsidRPr="00641AA7">
              <w:rPr>
                <w:rStyle w:val="Hyperlink"/>
                <w:rFonts w:cs="B Nazanin" w:hint="eastAsia"/>
                <w:noProof/>
                <w:rtl/>
                <w:lang w:bidi="fa-IR"/>
              </w:rPr>
              <w:t>ده</w:t>
            </w:r>
            <w:r w:rsidR="00641AA7" w:rsidRPr="00641AA7">
              <w:rPr>
                <w:rFonts w:cs="B Nazanin"/>
                <w:noProof/>
                <w:webHidden/>
              </w:rPr>
              <w:tab/>
            </w:r>
            <w:r w:rsidR="00AA4D6F">
              <w:rPr>
                <w:rFonts w:cs="B Nazanin" w:hint="cs"/>
                <w:noProof/>
                <w:webHidden/>
                <w:rtl/>
                <w:lang w:bidi="fa-IR"/>
              </w:rPr>
              <w:t>ج</w:t>
            </w:r>
          </w:hyperlink>
        </w:p>
        <w:p w:rsidR="00641AA7" w:rsidRPr="00641AA7" w:rsidRDefault="003B02A5" w:rsidP="000B16FF">
          <w:pPr>
            <w:pStyle w:val="TOC2"/>
            <w:tabs>
              <w:tab w:val="right" w:leader="dot" w:pos="7910"/>
            </w:tabs>
            <w:bidi/>
            <w:rPr>
              <w:rFonts w:eastAsiaTheme="minorEastAsia" w:cs="B Nazanin"/>
              <w:smallCaps w:val="0"/>
              <w:noProof/>
              <w:sz w:val="22"/>
              <w:szCs w:val="22"/>
              <w:rtl/>
              <w:lang w:bidi="fa-IR"/>
            </w:rPr>
          </w:pPr>
          <w:hyperlink w:anchor="_Toc397212629" w:history="1">
            <w:r w:rsidR="00641AA7" w:rsidRPr="00641AA7">
              <w:rPr>
                <w:rStyle w:val="Hyperlink"/>
                <w:rFonts w:eastAsia="Calibri" w:cs="B Nazanin" w:hint="eastAsia"/>
                <w:noProof/>
                <w:rtl/>
                <w:lang w:bidi="fa-IR"/>
              </w:rPr>
              <w:t>مقدمه</w:t>
            </w:r>
            <w:r w:rsidR="00641AA7" w:rsidRPr="00641AA7">
              <w:rPr>
                <w:rFonts w:cs="B Nazanin"/>
                <w:noProof/>
                <w:webHidden/>
              </w:rPr>
              <w:tab/>
            </w:r>
          </w:hyperlink>
          <w:r w:rsidR="000B16FF">
            <w:rPr>
              <w:rFonts w:cs="B Nazanin" w:hint="cs"/>
              <w:noProof/>
              <w:rtl/>
              <w:lang w:bidi="fa-IR"/>
            </w:rPr>
            <w:t>ه</w:t>
          </w:r>
        </w:p>
        <w:p w:rsidR="00641AA7" w:rsidRPr="00641AA7" w:rsidRDefault="003B02A5" w:rsidP="00641AA7">
          <w:pPr>
            <w:pStyle w:val="TOC1"/>
            <w:tabs>
              <w:tab w:val="right" w:leader="dot" w:pos="7910"/>
            </w:tabs>
            <w:bidi/>
            <w:rPr>
              <w:rFonts w:eastAsiaTheme="minorEastAsia" w:cs="B Nazanin"/>
              <w:b w:val="0"/>
              <w:bCs w:val="0"/>
              <w:caps w:val="0"/>
              <w:noProof/>
              <w:sz w:val="22"/>
              <w:szCs w:val="22"/>
            </w:rPr>
          </w:pPr>
          <w:hyperlink w:anchor="_Toc397212630" w:history="1">
            <w:r w:rsidR="00641AA7" w:rsidRPr="00641AA7">
              <w:rPr>
                <w:rStyle w:val="Hyperlink"/>
                <w:rFonts w:cs="B Nazanin" w:hint="eastAsia"/>
                <w:noProof/>
                <w:rtl/>
                <w:lang w:bidi="fa-IR"/>
              </w:rPr>
              <w:t>بخش</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اول</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کل</w:t>
            </w:r>
            <w:r w:rsidR="00641AA7" w:rsidRPr="00641AA7">
              <w:rPr>
                <w:rStyle w:val="Hyperlink"/>
                <w:rFonts w:cs="B Nazanin" w:hint="cs"/>
                <w:noProof/>
                <w:rtl/>
                <w:lang w:bidi="fa-IR"/>
              </w:rPr>
              <w:t>ی</w:t>
            </w:r>
            <w:r w:rsidR="00641AA7" w:rsidRPr="00641AA7">
              <w:rPr>
                <w:rStyle w:val="Hyperlink"/>
                <w:rFonts w:cs="B Nazanin" w:hint="eastAsia"/>
                <w:noProof/>
                <w:rtl/>
                <w:lang w:bidi="fa-IR"/>
              </w:rPr>
              <w:t>ات</w:t>
            </w:r>
            <w:r w:rsidR="00641AA7" w:rsidRPr="00641AA7">
              <w:rPr>
                <w:rFonts w:cs="B Nazanin"/>
                <w:noProof/>
                <w:webHidden/>
              </w:rPr>
              <w:tab/>
            </w:r>
            <w:r w:rsidR="00E33025" w:rsidRPr="00641AA7">
              <w:rPr>
                <w:rFonts w:cs="B Nazanin"/>
                <w:noProof/>
                <w:webHidden/>
              </w:rPr>
              <w:fldChar w:fldCharType="begin"/>
            </w:r>
            <w:r w:rsidR="00641AA7" w:rsidRPr="00641AA7">
              <w:rPr>
                <w:rFonts w:cs="B Nazanin"/>
                <w:noProof/>
                <w:webHidden/>
              </w:rPr>
              <w:instrText xml:space="preserve"> PAGEREF _Toc397212630 \h </w:instrText>
            </w:r>
            <w:r w:rsidR="00E33025" w:rsidRPr="00641AA7">
              <w:rPr>
                <w:rFonts w:cs="B Nazanin"/>
                <w:noProof/>
                <w:webHidden/>
              </w:rPr>
            </w:r>
            <w:r w:rsidR="00E33025" w:rsidRPr="00641AA7">
              <w:rPr>
                <w:rFonts w:cs="B Nazanin"/>
                <w:noProof/>
                <w:webHidden/>
              </w:rPr>
              <w:fldChar w:fldCharType="separate"/>
            </w:r>
            <w:r w:rsidR="003D77FE">
              <w:rPr>
                <w:rFonts w:cs="B Nazanin"/>
                <w:noProof/>
                <w:webHidden/>
                <w:rtl/>
              </w:rPr>
              <w:t>1</w:t>
            </w:r>
            <w:r w:rsidR="00E33025" w:rsidRPr="00641AA7">
              <w:rPr>
                <w:rFonts w:cs="B Nazanin"/>
                <w:noProof/>
                <w:webHidden/>
              </w:rPr>
              <w:fldChar w:fldCharType="end"/>
            </w:r>
          </w:hyperlink>
        </w:p>
        <w:p w:rsidR="00641AA7" w:rsidRPr="00641AA7" w:rsidRDefault="003B02A5" w:rsidP="00641AA7">
          <w:pPr>
            <w:pStyle w:val="TOC1"/>
            <w:tabs>
              <w:tab w:val="right" w:leader="dot" w:pos="7910"/>
            </w:tabs>
            <w:bidi/>
            <w:rPr>
              <w:rFonts w:eastAsiaTheme="minorEastAsia" w:cs="B Nazanin"/>
              <w:b w:val="0"/>
              <w:bCs w:val="0"/>
              <w:caps w:val="0"/>
              <w:noProof/>
              <w:sz w:val="22"/>
              <w:szCs w:val="22"/>
            </w:rPr>
          </w:pPr>
          <w:hyperlink w:anchor="_Toc397212631" w:history="1">
            <w:r w:rsidR="00641AA7" w:rsidRPr="00641AA7">
              <w:rPr>
                <w:rStyle w:val="Hyperlink"/>
                <w:rFonts w:cs="B Nazanin" w:hint="eastAsia"/>
                <w:noProof/>
                <w:rtl/>
                <w:lang w:bidi="fa-IR"/>
              </w:rPr>
              <w:t>فصل</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اول</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شناسا</w:t>
            </w:r>
            <w:r w:rsidR="00641AA7" w:rsidRPr="00641AA7">
              <w:rPr>
                <w:rStyle w:val="Hyperlink"/>
                <w:rFonts w:cs="B Nazanin" w:hint="cs"/>
                <w:noProof/>
                <w:rtl/>
                <w:lang w:bidi="fa-IR"/>
              </w:rPr>
              <w:t>یی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و</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اجرا</w:t>
            </w:r>
            <w:r w:rsidR="00641AA7" w:rsidRPr="00641AA7">
              <w:rPr>
                <w:rStyle w:val="Hyperlink"/>
                <w:rFonts w:cs="B Nazanin" w:hint="cs"/>
                <w:noProof/>
                <w:rtl/>
                <w:lang w:bidi="fa-IR"/>
              </w:rPr>
              <w:t>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احکام</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داور</w:t>
            </w:r>
            <w:r w:rsidR="00641AA7" w:rsidRPr="00641AA7">
              <w:rPr>
                <w:rStyle w:val="Hyperlink"/>
                <w:rFonts w:cs="B Nazanin" w:hint="cs"/>
                <w:noProof/>
                <w:rtl/>
                <w:lang w:bidi="fa-IR"/>
              </w:rPr>
              <w:t>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ب</w:t>
            </w:r>
            <w:r w:rsidR="00641AA7" w:rsidRPr="00641AA7">
              <w:rPr>
                <w:rStyle w:val="Hyperlink"/>
                <w:rFonts w:cs="B Nazanin" w:hint="cs"/>
                <w:noProof/>
                <w:rtl/>
                <w:lang w:bidi="fa-IR"/>
              </w:rPr>
              <w:t>ی</w:t>
            </w:r>
            <w:r w:rsidR="00641AA7" w:rsidRPr="00641AA7">
              <w:rPr>
                <w:rStyle w:val="Hyperlink"/>
                <w:rFonts w:cs="B Nazanin" w:hint="eastAsia"/>
                <w:noProof/>
                <w:rtl/>
                <w:lang w:bidi="fa-IR"/>
              </w:rPr>
              <w:t>ن‌الملل</w:t>
            </w:r>
            <w:r w:rsidR="00641AA7" w:rsidRPr="00641AA7">
              <w:rPr>
                <w:rStyle w:val="Hyperlink"/>
                <w:rFonts w:cs="B Nazanin" w:hint="cs"/>
                <w:noProof/>
                <w:rtl/>
                <w:lang w:bidi="fa-IR"/>
              </w:rPr>
              <w:t>ی</w:t>
            </w:r>
            <w:r w:rsidR="00641AA7" w:rsidRPr="00641AA7">
              <w:rPr>
                <w:rFonts w:cs="B Nazanin"/>
                <w:noProof/>
                <w:webHidden/>
              </w:rPr>
              <w:tab/>
            </w:r>
            <w:r w:rsidR="00E33025" w:rsidRPr="00641AA7">
              <w:rPr>
                <w:rFonts w:cs="B Nazanin"/>
                <w:noProof/>
                <w:webHidden/>
              </w:rPr>
              <w:fldChar w:fldCharType="begin"/>
            </w:r>
            <w:r w:rsidR="00641AA7" w:rsidRPr="00641AA7">
              <w:rPr>
                <w:rFonts w:cs="B Nazanin"/>
                <w:noProof/>
                <w:webHidden/>
              </w:rPr>
              <w:instrText xml:space="preserve"> PAGEREF _Toc397212631 \h </w:instrText>
            </w:r>
            <w:r w:rsidR="00E33025" w:rsidRPr="00641AA7">
              <w:rPr>
                <w:rFonts w:cs="B Nazanin"/>
                <w:noProof/>
                <w:webHidden/>
              </w:rPr>
            </w:r>
            <w:r w:rsidR="00E33025" w:rsidRPr="00641AA7">
              <w:rPr>
                <w:rFonts w:cs="B Nazanin"/>
                <w:noProof/>
                <w:webHidden/>
              </w:rPr>
              <w:fldChar w:fldCharType="separate"/>
            </w:r>
            <w:r w:rsidR="003D77FE">
              <w:rPr>
                <w:rFonts w:cs="B Nazanin"/>
                <w:noProof/>
                <w:webHidden/>
                <w:rtl/>
              </w:rPr>
              <w:t>2</w:t>
            </w:r>
            <w:r w:rsidR="00E33025" w:rsidRPr="00641AA7">
              <w:rPr>
                <w:rFonts w:cs="B Nazanin"/>
                <w:noProof/>
                <w:webHidden/>
              </w:rPr>
              <w:fldChar w:fldCharType="end"/>
            </w:r>
          </w:hyperlink>
        </w:p>
        <w:p w:rsidR="00641AA7" w:rsidRPr="00641AA7" w:rsidRDefault="003B02A5" w:rsidP="00641AA7">
          <w:pPr>
            <w:pStyle w:val="TOC2"/>
            <w:tabs>
              <w:tab w:val="right" w:leader="dot" w:pos="7910"/>
            </w:tabs>
            <w:bidi/>
            <w:rPr>
              <w:rFonts w:eastAsiaTheme="minorEastAsia" w:cs="B Nazanin"/>
              <w:smallCaps w:val="0"/>
              <w:noProof/>
              <w:sz w:val="22"/>
              <w:szCs w:val="22"/>
            </w:rPr>
          </w:pPr>
          <w:hyperlink w:anchor="_Toc397212632" w:history="1">
            <w:r w:rsidR="00641AA7" w:rsidRPr="00641AA7">
              <w:rPr>
                <w:rStyle w:val="Hyperlink"/>
                <w:rFonts w:cs="B Nazanin" w:hint="eastAsia"/>
                <w:noProof/>
                <w:rtl/>
                <w:lang w:bidi="fa-IR"/>
              </w:rPr>
              <w:t>گفتار</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اول</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شناسا</w:t>
            </w:r>
            <w:r w:rsidR="00641AA7" w:rsidRPr="00641AA7">
              <w:rPr>
                <w:rStyle w:val="Hyperlink"/>
                <w:rFonts w:cs="B Nazanin" w:hint="cs"/>
                <w:noProof/>
                <w:rtl/>
                <w:lang w:bidi="fa-IR"/>
              </w:rPr>
              <w:t>یی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احکام</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داور</w:t>
            </w:r>
            <w:r w:rsidR="00641AA7" w:rsidRPr="00641AA7">
              <w:rPr>
                <w:rStyle w:val="Hyperlink"/>
                <w:rFonts w:cs="B Nazanin" w:hint="cs"/>
                <w:noProof/>
                <w:rtl/>
                <w:lang w:bidi="fa-IR"/>
              </w:rPr>
              <w:t>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ب</w:t>
            </w:r>
            <w:r w:rsidR="00641AA7" w:rsidRPr="00641AA7">
              <w:rPr>
                <w:rStyle w:val="Hyperlink"/>
                <w:rFonts w:cs="B Nazanin" w:hint="cs"/>
                <w:noProof/>
                <w:rtl/>
                <w:lang w:bidi="fa-IR"/>
              </w:rPr>
              <w:t>ی</w:t>
            </w:r>
            <w:r w:rsidR="00641AA7" w:rsidRPr="00641AA7">
              <w:rPr>
                <w:rStyle w:val="Hyperlink"/>
                <w:rFonts w:cs="B Nazanin" w:hint="eastAsia"/>
                <w:noProof/>
                <w:rtl/>
                <w:lang w:bidi="fa-IR"/>
              </w:rPr>
              <w:t>ن</w:t>
            </w:r>
            <w:r w:rsidR="00641AA7" w:rsidRPr="00641AA7">
              <w:rPr>
                <w:rStyle w:val="Hyperlink"/>
                <w:rFonts w:cs="B Nazanin" w:hint="eastAsia"/>
                <w:noProof/>
                <w:lang w:bidi="fa-IR"/>
              </w:rPr>
              <w:t>‌</w:t>
            </w:r>
            <w:r w:rsidR="00641AA7" w:rsidRPr="00641AA7">
              <w:rPr>
                <w:rStyle w:val="Hyperlink"/>
                <w:rFonts w:cs="B Nazanin" w:hint="eastAsia"/>
                <w:noProof/>
                <w:rtl/>
                <w:lang w:bidi="fa-IR"/>
              </w:rPr>
              <w:t>الملل</w:t>
            </w:r>
            <w:r w:rsidR="00641AA7" w:rsidRPr="00641AA7">
              <w:rPr>
                <w:rStyle w:val="Hyperlink"/>
                <w:rFonts w:cs="B Nazanin" w:hint="cs"/>
                <w:noProof/>
                <w:rtl/>
                <w:lang w:bidi="fa-IR"/>
              </w:rPr>
              <w:t>ی</w:t>
            </w:r>
            <w:r w:rsidR="00641AA7" w:rsidRPr="00641AA7">
              <w:rPr>
                <w:rFonts w:cs="B Nazanin"/>
                <w:noProof/>
                <w:webHidden/>
              </w:rPr>
              <w:tab/>
            </w:r>
            <w:r w:rsidR="00E33025" w:rsidRPr="00641AA7">
              <w:rPr>
                <w:rFonts w:cs="B Nazanin"/>
                <w:noProof/>
                <w:webHidden/>
              </w:rPr>
              <w:fldChar w:fldCharType="begin"/>
            </w:r>
            <w:r w:rsidR="00641AA7" w:rsidRPr="00641AA7">
              <w:rPr>
                <w:rFonts w:cs="B Nazanin"/>
                <w:noProof/>
                <w:webHidden/>
              </w:rPr>
              <w:instrText xml:space="preserve"> PAGEREF _Toc397212632 \h </w:instrText>
            </w:r>
            <w:r w:rsidR="00E33025" w:rsidRPr="00641AA7">
              <w:rPr>
                <w:rFonts w:cs="B Nazanin"/>
                <w:noProof/>
                <w:webHidden/>
              </w:rPr>
            </w:r>
            <w:r w:rsidR="00E33025" w:rsidRPr="00641AA7">
              <w:rPr>
                <w:rFonts w:cs="B Nazanin"/>
                <w:noProof/>
                <w:webHidden/>
              </w:rPr>
              <w:fldChar w:fldCharType="separate"/>
            </w:r>
            <w:r w:rsidR="003D77FE">
              <w:rPr>
                <w:rFonts w:cs="B Nazanin"/>
                <w:noProof/>
                <w:webHidden/>
                <w:rtl/>
              </w:rPr>
              <w:t>3</w:t>
            </w:r>
            <w:r w:rsidR="00E33025" w:rsidRPr="00641AA7">
              <w:rPr>
                <w:rFonts w:cs="B Nazanin"/>
                <w:noProof/>
                <w:webHidden/>
              </w:rPr>
              <w:fldChar w:fldCharType="end"/>
            </w:r>
          </w:hyperlink>
        </w:p>
        <w:p w:rsidR="00641AA7" w:rsidRPr="00641AA7" w:rsidRDefault="003B02A5" w:rsidP="00641AA7">
          <w:pPr>
            <w:pStyle w:val="TOC2"/>
            <w:tabs>
              <w:tab w:val="right" w:leader="dot" w:pos="7910"/>
            </w:tabs>
            <w:bidi/>
            <w:rPr>
              <w:rFonts w:eastAsiaTheme="minorEastAsia" w:cs="B Nazanin"/>
              <w:smallCaps w:val="0"/>
              <w:noProof/>
              <w:sz w:val="22"/>
              <w:szCs w:val="22"/>
            </w:rPr>
          </w:pPr>
          <w:hyperlink w:anchor="_Toc397212633" w:history="1">
            <w:r w:rsidR="00641AA7" w:rsidRPr="00641AA7">
              <w:rPr>
                <w:rStyle w:val="Hyperlink"/>
                <w:rFonts w:cs="B Nazanin" w:hint="eastAsia"/>
                <w:noProof/>
                <w:rtl/>
                <w:lang w:bidi="fa-IR"/>
              </w:rPr>
              <w:t>گفتار</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دوم</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اجرا</w:t>
            </w:r>
            <w:r w:rsidR="00641AA7" w:rsidRPr="00641AA7">
              <w:rPr>
                <w:rStyle w:val="Hyperlink"/>
                <w:rFonts w:cs="B Nazanin" w:hint="cs"/>
                <w:noProof/>
                <w:rtl/>
                <w:lang w:bidi="fa-IR"/>
              </w:rPr>
              <w:t>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احکام</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داور</w:t>
            </w:r>
            <w:r w:rsidR="00641AA7" w:rsidRPr="00641AA7">
              <w:rPr>
                <w:rStyle w:val="Hyperlink"/>
                <w:rFonts w:cs="B Nazanin" w:hint="cs"/>
                <w:noProof/>
                <w:rtl/>
                <w:lang w:bidi="fa-IR"/>
              </w:rPr>
              <w:t>ی</w:t>
            </w:r>
            <w:r w:rsidR="00641AA7" w:rsidRPr="00641AA7">
              <w:rPr>
                <w:rStyle w:val="Hyperlink"/>
                <w:rFonts w:cs="B Nazanin"/>
                <w:noProof/>
                <w:rtl/>
                <w:lang w:bidi="fa-IR"/>
              </w:rPr>
              <w:t xml:space="preserve"> </w:t>
            </w:r>
            <w:r w:rsidR="00641AA7" w:rsidRPr="00641AA7">
              <w:rPr>
                <w:rStyle w:val="Hyperlink"/>
                <w:rFonts w:cs="B Nazanin" w:hint="eastAsia"/>
                <w:noProof/>
                <w:rtl/>
                <w:lang w:bidi="fa-IR"/>
              </w:rPr>
              <w:t>ب</w:t>
            </w:r>
            <w:r w:rsidR="00641AA7" w:rsidRPr="00641AA7">
              <w:rPr>
                <w:rStyle w:val="Hyperlink"/>
                <w:rFonts w:cs="B Nazanin" w:hint="cs"/>
                <w:noProof/>
                <w:rtl/>
                <w:lang w:bidi="fa-IR"/>
              </w:rPr>
              <w:t>ی</w:t>
            </w:r>
            <w:r w:rsidR="00641AA7" w:rsidRPr="00641AA7">
              <w:rPr>
                <w:rStyle w:val="Hyperlink"/>
                <w:rFonts w:cs="B Nazanin" w:hint="eastAsia"/>
                <w:noProof/>
                <w:rtl/>
                <w:lang w:bidi="fa-IR"/>
              </w:rPr>
              <w:t>ن</w:t>
            </w:r>
            <w:r w:rsidR="00641AA7" w:rsidRPr="00641AA7">
              <w:rPr>
                <w:rStyle w:val="Hyperlink"/>
                <w:rFonts w:cs="B Nazanin" w:hint="eastAsia"/>
                <w:noProof/>
                <w:lang w:bidi="fa-IR"/>
              </w:rPr>
              <w:t>‌</w:t>
            </w:r>
            <w:r w:rsidR="00641AA7" w:rsidRPr="00641AA7">
              <w:rPr>
                <w:rStyle w:val="Hyperlink"/>
                <w:rFonts w:cs="B Nazanin" w:hint="eastAsia"/>
                <w:noProof/>
                <w:rtl/>
                <w:lang w:bidi="fa-IR"/>
              </w:rPr>
              <w:t>الملل</w:t>
            </w:r>
            <w:r w:rsidR="00641AA7" w:rsidRPr="00641AA7">
              <w:rPr>
                <w:rStyle w:val="Hyperlink"/>
                <w:rFonts w:cs="B Nazanin" w:hint="cs"/>
                <w:noProof/>
                <w:rtl/>
                <w:lang w:bidi="fa-IR"/>
              </w:rPr>
              <w:t>ی</w:t>
            </w:r>
            <w:r w:rsidR="00641AA7" w:rsidRPr="00641AA7">
              <w:rPr>
                <w:rFonts w:cs="B Nazanin"/>
                <w:noProof/>
                <w:webHidden/>
              </w:rPr>
              <w:tab/>
            </w:r>
            <w:r w:rsidR="00E33025" w:rsidRPr="00641AA7">
              <w:rPr>
                <w:rFonts w:cs="B Nazanin"/>
                <w:noProof/>
                <w:webHidden/>
              </w:rPr>
              <w:fldChar w:fldCharType="begin"/>
            </w:r>
            <w:r w:rsidR="00641AA7" w:rsidRPr="00641AA7">
              <w:rPr>
                <w:rFonts w:cs="B Nazanin"/>
                <w:noProof/>
                <w:webHidden/>
              </w:rPr>
              <w:instrText xml:space="preserve"> PAGEREF _Toc397212633 \h </w:instrText>
            </w:r>
            <w:r w:rsidR="00E33025" w:rsidRPr="00641AA7">
              <w:rPr>
                <w:rFonts w:cs="B Nazanin"/>
                <w:noProof/>
                <w:webHidden/>
              </w:rPr>
            </w:r>
            <w:r w:rsidR="00E33025" w:rsidRPr="00641AA7">
              <w:rPr>
                <w:rFonts w:cs="B Nazanin"/>
                <w:noProof/>
                <w:webHidden/>
              </w:rPr>
              <w:fldChar w:fldCharType="separate"/>
            </w:r>
            <w:r w:rsidR="003D77FE">
              <w:rPr>
                <w:rFonts w:cs="B Nazanin"/>
                <w:noProof/>
                <w:webHidden/>
                <w:rtl/>
              </w:rPr>
              <w:t>6</w:t>
            </w:r>
            <w:r w:rsidR="00E33025" w:rsidRPr="00641AA7">
              <w:rPr>
                <w:rFonts w:cs="B Nazanin"/>
                <w:noProof/>
                <w:webHidden/>
              </w:rPr>
              <w:fldChar w:fldCharType="end"/>
            </w:r>
          </w:hyperlink>
        </w:p>
        <w:p w:rsidR="00641AA7" w:rsidRPr="00505B8A" w:rsidRDefault="003B02A5" w:rsidP="00505B8A">
          <w:pPr>
            <w:pStyle w:val="TOC3"/>
          </w:pPr>
          <w:hyperlink w:anchor="_Toc397212634" w:history="1">
            <w:r w:rsidR="00641AA7" w:rsidRPr="00505B8A">
              <w:rPr>
                <w:rStyle w:val="Hyperlink"/>
                <w:u w:val="none"/>
                <w:rtl/>
              </w:rPr>
              <w:t xml:space="preserve">2-1) </w:t>
            </w:r>
            <w:r w:rsidR="00641AA7" w:rsidRPr="00505B8A">
              <w:rPr>
                <w:rStyle w:val="Hyperlink"/>
                <w:rFonts w:hint="eastAsia"/>
                <w:u w:val="none"/>
                <w:rtl/>
              </w:rPr>
              <w:t>رژ</w:t>
            </w:r>
            <w:r w:rsidR="00641AA7" w:rsidRPr="00505B8A">
              <w:rPr>
                <w:rStyle w:val="Hyperlink"/>
                <w:rFonts w:hint="cs"/>
                <w:u w:val="none"/>
                <w:rtl/>
              </w:rPr>
              <w:t>ی</w:t>
            </w:r>
            <w:r w:rsidR="00641AA7" w:rsidRPr="00505B8A">
              <w:rPr>
                <w:rStyle w:val="Hyperlink"/>
                <w:rFonts w:hint="eastAsia"/>
                <w:u w:val="none"/>
                <w:rtl/>
              </w:rPr>
              <w:t>م</w:t>
            </w:r>
            <w:r w:rsidR="00641AA7" w:rsidRPr="00505B8A">
              <w:rPr>
                <w:rStyle w:val="Hyperlink"/>
                <w:rFonts w:hint="eastAsia"/>
                <w:u w:val="none"/>
              </w:rPr>
              <w:t>‌</w:t>
            </w:r>
            <w:r w:rsidR="00641AA7" w:rsidRPr="00505B8A">
              <w:rPr>
                <w:rStyle w:val="Hyperlink"/>
                <w:rFonts w:hint="eastAsia"/>
                <w:u w:val="none"/>
                <w:rtl/>
              </w:rPr>
              <w:t>ها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اجرا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رأ</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داور</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_Toc397212634 \h </w:instrText>
            </w:r>
            <w:r w:rsidR="00E33025" w:rsidRPr="00505B8A">
              <w:rPr>
                <w:webHidden/>
              </w:rPr>
            </w:r>
            <w:r w:rsidR="00E33025" w:rsidRPr="00505B8A">
              <w:rPr>
                <w:webHidden/>
              </w:rPr>
              <w:fldChar w:fldCharType="separate"/>
            </w:r>
            <w:r w:rsidR="003D77FE">
              <w:rPr>
                <w:webHidden/>
                <w:rtl/>
                <w:lang w:bidi="ar-SA"/>
              </w:rPr>
              <w:t>7</w:t>
            </w:r>
            <w:r w:rsidR="00E33025" w:rsidRPr="00505B8A">
              <w:rPr>
                <w:webHidden/>
              </w:rPr>
              <w:fldChar w:fldCharType="end"/>
            </w:r>
          </w:hyperlink>
        </w:p>
        <w:p w:rsidR="001F0DF9" w:rsidRPr="00505B8A" w:rsidRDefault="001F0DF9" w:rsidP="00086316">
          <w:pPr>
            <w:bidi/>
            <w:spacing w:after="200" w:line="240" w:lineRule="auto"/>
            <w:ind w:left="560"/>
            <w:jc w:val="left"/>
            <w:rPr>
              <w:rFonts w:ascii="Calibri" w:eastAsia="Calibri" w:hAnsi="Calibri" w:cs="B Nazanin"/>
              <w:sz w:val="24"/>
              <w:szCs w:val="24"/>
              <w:rtl/>
              <w:lang w:bidi="fa-IR"/>
            </w:rPr>
          </w:pPr>
          <w:r w:rsidRPr="00505B8A">
            <w:rPr>
              <w:rFonts w:ascii="Calibri" w:eastAsia="Calibri" w:hAnsi="Calibri" w:cs="B Nazanin" w:hint="cs"/>
              <w:sz w:val="24"/>
              <w:szCs w:val="24"/>
              <w:rtl/>
              <w:lang w:bidi="fa-IR"/>
            </w:rPr>
            <w:t>2-1-1) کنوانسیون نیویورک</w:t>
          </w:r>
          <w:r w:rsidR="00086316">
            <w:rPr>
              <w:rFonts w:ascii="Calibri" w:eastAsia="Calibri" w:hAnsi="Calibri" w:cs="B Nazanin"/>
              <w:sz w:val="24"/>
              <w:szCs w:val="24"/>
              <w:lang w:bidi="fa-IR"/>
            </w:rPr>
            <w:t>……………………………………………………………………………….</w:t>
          </w:r>
          <w:r w:rsidRPr="00505B8A">
            <w:rPr>
              <w:rFonts w:ascii="Calibri" w:eastAsia="Calibri" w:hAnsi="Calibri" w:cs="B Nazanin"/>
              <w:sz w:val="24"/>
              <w:szCs w:val="24"/>
              <w:lang w:bidi="fa-IR"/>
            </w:rPr>
            <w:t>.</w:t>
          </w:r>
          <w:r w:rsidRPr="00505B8A">
            <w:rPr>
              <w:rFonts w:ascii="Calibri" w:eastAsia="Calibri" w:hAnsi="Calibri" w:cs="B Nazanin" w:hint="cs"/>
              <w:sz w:val="24"/>
              <w:szCs w:val="24"/>
              <w:rtl/>
              <w:lang w:bidi="fa-IR"/>
            </w:rPr>
            <w:t>8</w:t>
          </w:r>
        </w:p>
        <w:p w:rsidR="001F0DF9" w:rsidRPr="00505B8A" w:rsidRDefault="001F0DF9" w:rsidP="00505B8A">
          <w:pPr>
            <w:bidi/>
            <w:spacing w:after="200" w:line="240" w:lineRule="auto"/>
            <w:ind w:left="560"/>
            <w:jc w:val="left"/>
            <w:rPr>
              <w:rFonts w:ascii="Calibri" w:eastAsia="Calibri" w:hAnsi="Calibri" w:cs="B Nazanin"/>
              <w:i/>
              <w:iCs/>
              <w:sz w:val="24"/>
              <w:szCs w:val="24"/>
              <w:rtl/>
              <w:lang w:bidi="fa-IR"/>
            </w:rPr>
          </w:pPr>
          <w:r w:rsidRPr="00505B8A">
            <w:rPr>
              <w:rFonts w:ascii="Calibri" w:eastAsia="Calibri" w:hAnsi="Calibri" w:cs="B Nazanin" w:hint="cs"/>
              <w:i/>
              <w:iCs/>
              <w:sz w:val="24"/>
              <w:szCs w:val="24"/>
              <w:rtl/>
              <w:lang w:bidi="fa-IR"/>
            </w:rPr>
            <w:t>2-1-2) کشورهای تابع نظام حقوقی رومی-ژرمنی................................................................</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..12</w:t>
          </w:r>
        </w:p>
        <w:p w:rsidR="001F0DF9" w:rsidRPr="00505B8A" w:rsidRDefault="001F0DF9" w:rsidP="00505B8A">
          <w:pPr>
            <w:bidi/>
            <w:spacing w:after="200" w:line="240" w:lineRule="auto"/>
            <w:ind w:left="560"/>
            <w:jc w:val="left"/>
            <w:rPr>
              <w:rFonts w:ascii="Calibri" w:eastAsia="Calibri" w:hAnsi="Calibri" w:cs="B Nazanin"/>
              <w:i/>
              <w:iCs/>
              <w:sz w:val="24"/>
              <w:szCs w:val="24"/>
              <w:rtl/>
              <w:lang w:bidi="fa-IR"/>
            </w:rPr>
          </w:pPr>
          <w:r w:rsidRPr="00505B8A">
            <w:rPr>
              <w:rFonts w:ascii="Calibri" w:eastAsia="Calibri" w:hAnsi="Calibri" w:cs="B Nazanin" w:hint="cs"/>
              <w:i/>
              <w:iCs/>
              <w:sz w:val="24"/>
              <w:szCs w:val="24"/>
              <w:rtl/>
              <w:lang w:bidi="fa-IR"/>
            </w:rPr>
            <w:t>2-1-2-الف) ایتالیا..........................................................................................................</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......13</w:t>
          </w:r>
        </w:p>
        <w:p w:rsidR="001F0DF9" w:rsidRPr="00505B8A" w:rsidRDefault="001F0DF9" w:rsidP="00505B8A">
          <w:pPr>
            <w:bidi/>
            <w:spacing w:after="200" w:line="240" w:lineRule="auto"/>
            <w:ind w:left="560"/>
            <w:jc w:val="left"/>
            <w:rPr>
              <w:rFonts w:ascii="Calibri" w:eastAsia="Calibri" w:hAnsi="Calibri" w:cs="B Nazanin"/>
              <w:i/>
              <w:iCs/>
              <w:sz w:val="24"/>
              <w:szCs w:val="24"/>
              <w:rtl/>
              <w:lang w:bidi="fa-IR"/>
            </w:rPr>
          </w:pPr>
          <w:r w:rsidRPr="00505B8A">
            <w:rPr>
              <w:rFonts w:ascii="Calibri" w:eastAsia="Calibri" w:hAnsi="Calibri" w:cs="B Nazanin" w:hint="cs"/>
              <w:i/>
              <w:iCs/>
              <w:sz w:val="24"/>
              <w:szCs w:val="24"/>
              <w:rtl/>
              <w:lang w:bidi="fa-IR"/>
            </w:rPr>
            <w:t>2-1-2-ب) فرانسه.........................................................................................................</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.......15</w:t>
          </w:r>
        </w:p>
        <w:p w:rsidR="001F0DF9" w:rsidRPr="00505B8A" w:rsidRDefault="001F0DF9" w:rsidP="00505B8A">
          <w:pPr>
            <w:bidi/>
            <w:spacing w:after="200" w:line="240" w:lineRule="auto"/>
            <w:ind w:left="560"/>
            <w:jc w:val="left"/>
            <w:rPr>
              <w:rFonts w:ascii="Calibri" w:eastAsia="Calibri" w:hAnsi="Calibri" w:cs="B Nazanin"/>
              <w:i/>
              <w:iCs/>
              <w:sz w:val="24"/>
              <w:szCs w:val="24"/>
              <w:rtl/>
              <w:lang w:bidi="fa-IR"/>
            </w:rPr>
          </w:pPr>
          <w:r w:rsidRPr="00505B8A">
            <w:rPr>
              <w:rFonts w:ascii="Calibri" w:eastAsia="Calibri" w:hAnsi="Calibri" w:cs="B Nazanin" w:hint="cs"/>
              <w:i/>
              <w:iCs/>
              <w:sz w:val="24"/>
              <w:szCs w:val="24"/>
              <w:rtl/>
              <w:lang w:bidi="fa-IR"/>
            </w:rPr>
            <w:t>2-1-3) کشورهای تابع نظام حقوقی کامن‌لا............................................................</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..............18</w:t>
          </w:r>
        </w:p>
        <w:p w:rsidR="001F0DF9" w:rsidRPr="00505B8A" w:rsidRDefault="001F0DF9" w:rsidP="00505B8A">
          <w:pPr>
            <w:bidi/>
            <w:spacing w:after="200" w:line="240" w:lineRule="auto"/>
            <w:ind w:left="560"/>
            <w:jc w:val="left"/>
            <w:rPr>
              <w:rFonts w:ascii="Calibri" w:eastAsia="Calibri" w:hAnsi="Calibri" w:cs="B Nazanin"/>
              <w:i/>
              <w:iCs/>
              <w:sz w:val="24"/>
              <w:szCs w:val="24"/>
              <w:rtl/>
              <w:lang w:bidi="fa-IR"/>
            </w:rPr>
          </w:pPr>
          <w:r w:rsidRPr="00505B8A">
            <w:rPr>
              <w:rFonts w:ascii="Calibri" w:eastAsia="Calibri" w:hAnsi="Calibri" w:cs="B Nazanin" w:hint="cs"/>
              <w:i/>
              <w:iCs/>
              <w:sz w:val="24"/>
              <w:szCs w:val="24"/>
              <w:rtl/>
              <w:lang w:bidi="fa-IR"/>
            </w:rPr>
            <w:t>2-1-3-الف) انگلستان................................................................................................</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...........18</w:t>
          </w:r>
        </w:p>
        <w:p w:rsidR="001F0DF9" w:rsidRPr="00505B8A" w:rsidRDefault="001F0DF9" w:rsidP="00505B8A">
          <w:pPr>
            <w:bidi/>
            <w:spacing w:after="200" w:line="240" w:lineRule="auto"/>
            <w:ind w:left="560"/>
            <w:jc w:val="left"/>
            <w:rPr>
              <w:rFonts w:ascii="Calibri" w:eastAsia="Calibri" w:hAnsi="Calibri" w:cs="B Nazanin"/>
              <w:i/>
              <w:iCs/>
              <w:sz w:val="24"/>
              <w:szCs w:val="24"/>
              <w:rtl/>
              <w:lang w:bidi="fa-IR"/>
            </w:rPr>
          </w:pPr>
          <w:r w:rsidRPr="00505B8A">
            <w:rPr>
              <w:rFonts w:ascii="Calibri" w:eastAsia="Calibri" w:hAnsi="Calibri" w:cs="B Nazanin" w:hint="cs"/>
              <w:i/>
              <w:iCs/>
              <w:sz w:val="24"/>
              <w:szCs w:val="24"/>
              <w:rtl/>
              <w:lang w:bidi="fa-IR"/>
            </w:rPr>
            <w:t>2-1-3-ب) ایالات متحده آمریکا................................................................................</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w:t>
          </w:r>
          <w:r w:rsidR="00AC5F80" w:rsidRPr="00505B8A">
            <w:rPr>
              <w:rFonts w:ascii="Calibri" w:eastAsia="Calibri" w:hAnsi="Calibri" w:cs="B Nazanin" w:hint="cs"/>
              <w:i/>
              <w:iCs/>
              <w:sz w:val="24"/>
              <w:szCs w:val="24"/>
              <w:rtl/>
              <w:lang w:bidi="fa-IR"/>
            </w:rPr>
            <w:t>22</w:t>
          </w:r>
        </w:p>
        <w:p w:rsidR="001F0DF9" w:rsidRPr="00505B8A" w:rsidRDefault="00AC5F80" w:rsidP="00505B8A">
          <w:pPr>
            <w:bidi/>
            <w:spacing w:after="200" w:line="240" w:lineRule="auto"/>
            <w:ind w:left="560"/>
            <w:jc w:val="left"/>
            <w:rPr>
              <w:rFonts w:ascii="Calibri" w:eastAsia="Calibri" w:hAnsi="Calibri" w:cs="B Nazanin"/>
              <w:i/>
              <w:iCs/>
              <w:sz w:val="24"/>
              <w:szCs w:val="24"/>
              <w:lang w:bidi="fa-IR"/>
            </w:rPr>
          </w:pPr>
          <w:r w:rsidRPr="00AC5F80">
            <w:rPr>
              <w:rFonts w:ascii="Calibri" w:eastAsia="Calibri" w:hAnsi="Calibri" w:cs="B Nazanin" w:hint="cs"/>
              <w:i/>
              <w:iCs/>
              <w:sz w:val="24"/>
              <w:szCs w:val="24"/>
              <w:rtl/>
              <w:lang w:bidi="fa-IR"/>
            </w:rPr>
            <w:t>2-1-4) اجرای آرای داوری در ایران</w:t>
          </w:r>
          <w:r w:rsidRPr="00505B8A">
            <w:rPr>
              <w:rFonts w:ascii="Calibri" w:eastAsia="Calibri" w:hAnsi="Calibri" w:cs="B Nazanin" w:hint="cs"/>
              <w:i/>
              <w:iCs/>
              <w:sz w:val="24"/>
              <w:szCs w:val="24"/>
              <w:rtl/>
              <w:lang w:bidi="fa-IR"/>
            </w:rPr>
            <w:t>...........................................................................</w:t>
          </w:r>
          <w:r w:rsidR="00505B8A">
            <w:rPr>
              <w:rFonts w:ascii="Calibri" w:eastAsia="Calibri" w:hAnsi="Calibri" w:cs="B Nazanin" w:hint="cs"/>
              <w:i/>
              <w:iCs/>
              <w:sz w:val="24"/>
              <w:szCs w:val="24"/>
              <w:rtl/>
              <w:lang w:bidi="fa-IR"/>
            </w:rPr>
            <w:t>............................</w:t>
          </w:r>
          <w:r w:rsidRPr="00505B8A">
            <w:rPr>
              <w:rFonts w:ascii="Calibri" w:eastAsia="Calibri" w:hAnsi="Calibri" w:cs="B Nazanin" w:hint="cs"/>
              <w:i/>
              <w:iCs/>
              <w:sz w:val="24"/>
              <w:szCs w:val="24"/>
              <w:rtl/>
              <w:lang w:bidi="fa-IR"/>
            </w:rPr>
            <w:t>..........26</w:t>
          </w:r>
        </w:p>
        <w:p w:rsidR="00641AA7" w:rsidRPr="00505B8A" w:rsidRDefault="003B02A5" w:rsidP="00505B8A">
          <w:pPr>
            <w:pStyle w:val="TOC3"/>
            <w:rPr>
              <w:rFonts w:eastAsiaTheme="minorEastAsia"/>
            </w:rPr>
          </w:pPr>
          <w:hyperlink w:anchor="_Toc397212635" w:history="1">
            <w:r w:rsidR="00641AA7" w:rsidRPr="00505B8A">
              <w:rPr>
                <w:rStyle w:val="Hyperlink"/>
                <w:u w:val="none"/>
                <w:rtl/>
              </w:rPr>
              <w:t xml:space="preserve">2-2) </w:t>
            </w:r>
            <w:r w:rsidR="00641AA7" w:rsidRPr="00505B8A">
              <w:rPr>
                <w:rStyle w:val="Hyperlink"/>
                <w:rFonts w:hint="eastAsia"/>
                <w:u w:val="none"/>
                <w:rtl/>
              </w:rPr>
              <w:t>نظارت</w:t>
            </w:r>
            <w:r w:rsidR="00641AA7" w:rsidRPr="00505B8A">
              <w:rPr>
                <w:rStyle w:val="Hyperlink"/>
                <w:u w:val="none"/>
                <w:rtl/>
              </w:rPr>
              <w:t xml:space="preserve"> </w:t>
            </w:r>
            <w:r w:rsidR="00641AA7" w:rsidRPr="00505B8A">
              <w:rPr>
                <w:rStyle w:val="Hyperlink"/>
                <w:rFonts w:hint="eastAsia"/>
                <w:u w:val="none"/>
                <w:rtl/>
              </w:rPr>
              <w:t>قضا</w:t>
            </w:r>
            <w:r w:rsidR="00641AA7" w:rsidRPr="00505B8A">
              <w:rPr>
                <w:rStyle w:val="Hyperlink"/>
                <w:rFonts w:hint="cs"/>
                <w:u w:val="none"/>
                <w:rtl/>
              </w:rPr>
              <w:t>یی</w:t>
            </w:r>
            <w:r w:rsidR="00641AA7" w:rsidRPr="00505B8A">
              <w:rPr>
                <w:rStyle w:val="Hyperlink"/>
                <w:u w:val="none"/>
                <w:rtl/>
              </w:rPr>
              <w:t xml:space="preserve"> </w:t>
            </w:r>
            <w:r w:rsidR="00641AA7" w:rsidRPr="00505B8A">
              <w:rPr>
                <w:rStyle w:val="Hyperlink"/>
                <w:rFonts w:hint="eastAsia"/>
                <w:u w:val="none"/>
                <w:rtl/>
              </w:rPr>
              <w:t>بر</w:t>
            </w:r>
            <w:r w:rsidR="00641AA7" w:rsidRPr="00505B8A">
              <w:rPr>
                <w:rStyle w:val="Hyperlink"/>
                <w:u w:val="none"/>
                <w:rtl/>
              </w:rPr>
              <w:t xml:space="preserve"> </w:t>
            </w:r>
            <w:r w:rsidR="00641AA7" w:rsidRPr="00505B8A">
              <w:rPr>
                <w:rStyle w:val="Hyperlink"/>
                <w:rFonts w:hint="eastAsia"/>
                <w:u w:val="none"/>
                <w:rtl/>
              </w:rPr>
              <w:t>آرا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داور</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_Toc397212635 \h </w:instrText>
            </w:r>
            <w:r w:rsidR="00E33025" w:rsidRPr="00505B8A">
              <w:rPr>
                <w:webHidden/>
              </w:rPr>
            </w:r>
            <w:r w:rsidR="00E33025" w:rsidRPr="00505B8A">
              <w:rPr>
                <w:webHidden/>
              </w:rPr>
              <w:fldChar w:fldCharType="separate"/>
            </w:r>
            <w:r w:rsidR="003D77FE">
              <w:rPr>
                <w:webHidden/>
                <w:rtl/>
                <w:lang w:bidi="ar-SA"/>
              </w:rPr>
              <w:t>28</w:t>
            </w:r>
            <w:r w:rsidR="00E33025" w:rsidRPr="00505B8A">
              <w:rPr>
                <w:webHidden/>
              </w:rPr>
              <w:fldChar w:fldCharType="end"/>
            </w:r>
          </w:hyperlink>
        </w:p>
        <w:p w:rsidR="00641AA7" w:rsidRPr="00505B8A" w:rsidRDefault="003B02A5" w:rsidP="00641AA7">
          <w:pPr>
            <w:pStyle w:val="TOC1"/>
            <w:tabs>
              <w:tab w:val="right" w:leader="dot" w:pos="7910"/>
            </w:tabs>
            <w:bidi/>
            <w:rPr>
              <w:rFonts w:eastAsiaTheme="minorEastAsia" w:cs="B Nazanin"/>
              <w:b w:val="0"/>
              <w:bCs w:val="0"/>
              <w:i/>
              <w:iCs/>
              <w:caps w:val="0"/>
              <w:noProof/>
              <w:sz w:val="24"/>
            </w:rPr>
          </w:pPr>
          <w:hyperlink w:anchor="_Toc397212636" w:history="1">
            <w:r w:rsidR="00641AA7" w:rsidRPr="00505B8A">
              <w:rPr>
                <w:rStyle w:val="Hyperlink"/>
                <w:rFonts w:cs="B Nazanin" w:hint="eastAsia"/>
                <w:i/>
                <w:iCs/>
                <w:noProof/>
                <w:sz w:val="24"/>
                <w:u w:val="none"/>
                <w:rtl/>
                <w:lang w:bidi="fa-IR"/>
              </w:rPr>
              <w:t>فصل</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_Toc397212636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31</w:t>
            </w:r>
            <w:r w:rsidR="00E33025" w:rsidRPr="00505B8A">
              <w:rPr>
                <w:rFonts w:cs="B Nazanin"/>
                <w:i/>
                <w:iCs/>
                <w:noProof/>
                <w:webHidden/>
                <w:sz w:val="24"/>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37"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اول</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تار</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خچه</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و</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مفهوم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_Toc397212637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31</w:t>
            </w:r>
            <w:r w:rsidR="00E33025" w:rsidRPr="00505B8A">
              <w:rPr>
                <w:rFonts w:cs="B Nazanin"/>
                <w:i/>
                <w:iCs/>
                <w:noProof/>
                <w:webHidden/>
                <w:sz w:val="24"/>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38"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نسب</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ت</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مکان</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و</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زمان</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_Toc397212638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44</w:t>
            </w:r>
            <w:r w:rsidR="00E33025" w:rsidRPr="00505B8A">
              <w:rPr>
                <w:rFonts w:cs="B Nazanin"/>
                <w:i/>
                <w:iCs/>
                <w:noProof/>
                <w:webHidden/>
                <w:sz w:val="24"/>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39"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سوم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اقسام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_Toc397212639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46</w:t>
            </w:r>
            <w:r w:rsidR="00E33025" w:rsidRPr="00505B8A">
              <w:rPr>
                <w:rFonts w:cs="B Nazanin"/>
                <w:i/>
                <w:iCs/>
                <w:noProof/>
                <w:webHidden/>
                <w:sz w:val="24"/>
              </w:rPr>
              <w:fldChar w:fldCharType="end"/>
            </w:r>
          </w:hyperlink>
        </w:p>
        <w:p w:rsidR="00641AA7" w:rsidRPr="00505B8A" w:rsidRDefault="003B02A5" w:rsidP="00505B8A">
          <w:pPr>
            <w:pStyle w:val="TOC3"/>
            <w:rPr>
              <w:rFonts w:eastAsiaTheme="minorEastAsia"/>
            </w:rPr>
          </w:pPr>
          <w:hyperlink w:anchor="_Toc397212640" w:history="1">
            <w:r w:rsidR="00641AA7" w:rsidRPr="00505B8A">
              <w:rPr>
                <w:rStyle w:val="Hyperlink"/>
                <w:u w:val="none"/>
                <w:rtl/>
              </w:rPr>
              <w:t xml:space="preserve">3-1)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مل</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_Toc397212640 \h </w:instrText>
            </w:r>
            <w:r w:rsidR="00E33025" w:rsidRPr="00505B8A">
              <w:rPr>
                <w:webHidden/>
              </w:rPr>
            </w:r>
            <w:r w:rsidR="00E33025" w:rsidRPr="00505B8A">
              <w:rPr>
                <w:webHidden/>
              </w:rPr>
              <w:fldChar w:fldCharType="separate"/>
            </w:r>
            <w:r w:rsidR="003D77FE">
              <w:rPr>
                <w:webHidden/>
                <w:rtl/>
                <w:lang w:bidi="ar-SA"/>
              </w:rPr>
              <w:t>47</w:t>
            </w:r>
            <w:r w:rsidR="00E33025" w:rsidRPr="00505B8A">
              <w:rPr>
                <w:webHidden/>
              </w:rPr>
              <w:fldChar w:fldCharType="end"/>
            </w:r>
          </w:hyperlink>
        </w:p>
        <w:p w:rsidR="00641AA7" w:rsidRPr="00505B8A" w:rsidRDefault="003B02A5" w:rsidP="00505B8A">
          <w:pPr>
            <w:pStyle w:val="TOC3"/>
            <w:rPr>
              <w:rFonts w:eastAsiaTheme="minorEastAsia"/>
            </w:rPr>
          </w:pPr>
          <w:hyperlink w:anchor="_Toc397212641" w:history="1">
            <w:r w:rsidR="00641AA7" w:rsidRPr="00505B8A">
              <w:rPr>
                <w:rStyle w:val="Hyperlink"/>
                <w:u w:val="none"/>
                <w:rtl/>
              </w:rPr>
              <w:t xml:space="preserve">3-2)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فرامل</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_Toc397212641 \h </w:instrText>
            </w:r>
            <w:r w:rsidR="00E33025" w:rsidRPr="00505B8A">
              <w:rPr>
                <w:webHidden/>
              </w:rPr>
            </w:r>
            <w:r w:rsidR="00E33025" w:rsidRPr="00505B8A">
              <w:rPr>
                <w:webHidden/>
              </w:rPr>
              <w:fldChar w:fldCharType="separate"/>
            </w:r>
            <w:r w:rsidR="003D77FE">
              <w:rPr>
                <w:webHidden/>
                <w:rtl/>
                <w:lang w:bidi="ar-SA"/>
              </w:rPr>
              <w:t>54</w:t>
            </w:r>
            <w:r w:rsidR="00E33025" w:rsidRPr="00505B8A">
              <w:rPr>
                <w:webHidden/>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42"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چهارم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دامنه</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_Toc397212642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56</w:t>
            </w:r>
            <w:r w:rsidR="00E33025" w:rsidRPr="00505B8A">
              <w:rPr>
                <w:rFonts w:cs="B Nazanin"/>
                <w:i/>
                <w:iCs/>
                <w:noProof/>
                <w:webHidden/>
                <w:sz w:val="24"/>
              </w:rPr>
              <w:fldChar w:fldCharType="end"/>
            </w:r>
          </w:hyperlink>
        </w:p>
        <w:p w:rsidR="00641AA7" w:rsidRPr="00505B8A" w:rsidRDefault="003B02A5" w:rsidP="00505B8A">
          <w:pPr>
            <w:pStyle w:val="TOC3"/>
            <w:rPr>
              <w:rFonts w:eastAsiaTheme="minorEastAsia"/>
            </w:rPr>
          </w:pPr>
          <w:hyperlink w:anchor="_Toc397212643" w:history="1">
            <w:r w:rsidR="00641AA7" w:rsidRPr="00505B8A">
              <w:rPr>
                <w:rStyle w:val="Hyperlink"/>
                <w:u w:val="none"/>
                <w:rtl/>
              </w:rPr>
              <w:t xml:space="preserve">4-1)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شکل</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_Toc397212643 \h </w:instrText>
            </w:r>
            <w:r w:rsidR="00E33025" w:rsidRPr="00505B8A">
              <w:rPr>
                <w:webHidden/>
              </w:rPr>
            </w:r>
            <w:r w:rsidR="00E33025" w:rsidRPr="00505B8A">
              <w:rPr>
                <w:webHidden/>
              </w:rPr>
              <w:fldChar w:fldCharType="separate"/>
            </w:r>
            <w:r w:rsidR="003D77FE">
              <w:rPr>
                <w:webHidden/>
                <w:rtl/>
                <w:lang w:bidi="ar-SA"/>
              </w:rPr>
              <w:t>57</w:t>
            </w:r>
            <w:r w:rsidR="00E33025" w:rsidRPr="00505B8A">
              <w:rPr>
                <w:webHidden/>
              </w:rPr>
              <w:fldChar w:fldCharType="end"/>
            </w:r>
          </w:hyperlink>
        </w:p>
        <w:p w:rsidR="00641AA7" w:rsidRPr="00505B8A" w:rsidRDefault="003B02A5" w:rsidP="00505B8A">
          <w:pPr>
            <w:pStyle w:val="TOC3"/>
            <w:rPr>
              <w:rFonts w:eastAsiaTheme="minorEastAsia"/>
            </w:rPr>
          </w:pPr>
          <w:hyperlink w:anchor="_Toc397212644" w:history="1">
            <w:r w:rsidR="00641AA7" w:rsidRPr="00505B8A">
              <w:rPr>
                <w:rStyle w:val="Hyperlink"/>
                <w:u w:val="none"/>
                <w:rtl/>
              </w:rPr>
              <w:t xml:space="preserve">4-2)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ماهو</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_Toc397212644 \h </w:instrText>
            </w:r>
            <w:r w:rsidR="00E33025" w:rsidRPr="00505B8A">
              <w:rPr>
                <w:webHidden/>
              </w:rPr>
            </w:r>
            <w:r w:rsidR="00E33025" w:rsidRPr="00505B8A">
              <w:rPr>
                <w:webHidden/>
              </w:rPr>
              <w:fldChar w:fldCharType="separate"/>
            </w:r>
            <w:r w:rsidR="003D77FE">
              <w:rPr>
                <w:webHidden/>
                <w:rtl/>
                <w:lang w:bidi="ar-SA"/>
              </w:rPr>
              <w:t>59</w:t>
            </w:r>
            <w:r w:rsidR="00E33025" w:rsidRPr="00505B8A">
              <w:rPr>
                <w:webHidden/>
              </w:rPr>
              <w:fldChar w:fldCharType="end"/>
            </w:r>
          </w:hyperlink>
        </w:p>
        <w:p w:rsidR="00641AA7" w:rsidRPr="00505B8A" w:rsidRDefault="003B02A5" w:rsidP="00641AA7">
          <w:pPr>
            <w:pStyle w:val="TOC1"/>
            <w:tabs>
              <w:tab w:val="right" w:leader="dot" w:pos="7910"/>
            </w:tabs>
            <w:bidi/>
            <w:rPr>
              <w:rFonts w:eastAsiaTheme="minorEastAsia" w:cs="B Nazanin"/>
              <w:b w:val="0"/>
              <w:bCs w:val="0"/>
              <w:i/>
              <w:iCs/>
              <w:caps w:val="0"/>
              <w:noProof/>
              <w:sz w:val="24"/>
            </w:rPr>
          </w:pPr>
          <w:hyperlink w:anchor="_Toc397212645" w:history="1">
            <w:r w:rsidR="00641AA7" w:rsidRPr="00505B8A">
              <w:rPr>
                <w:rStyle w:val="Hyperlink"/>
                <w:rFonts w:cs="B Nazanin" w:hint="eastAsia"/>
                <w:i/>
                <w:iCs/>
                <w:noProof/>
                <w:sz w:val="24"/>
                <w:u w:val="none"/>
                <w:rtl/>
                <w:lang w:bidi="fa-IR"/>
              </w:rPr>
              <w:t>بخش</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اجرا</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احکام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داور</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_Toc397212645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61</w:t>
            </w:r>
            <w:r w:rsidR="00E33025" w:rsidRPr="00505B8A">
              <w:rPr>
                <w:rFonts w:cs="B Nazanin"/>
                <w:i/>
                <w:iCs/>
                <w:noProof/>
                <w:webHidden/>
                <w:sz w:val="24"/>
              </w:rPr>
              <w:fldChar w:fldCharType="end"/>
            </w:r>
          </w:hyperlink>
        </w:p>
        <w:p w:rsidR="00641AA7" w:rsidRPr="00505B8A" w:rsidRDefault="003B02A5" w:rsidP="00641AA7">
          <w:pPr>
            <w:pStyle w:val="TOC1"/>
            <w:tabs>
              <w:tab w:val="right" w:leader="dot" w:pos="7910"/>
            </w:tabs>
            <w:bidi/>
            <w:rPr>
              <w:rFonts w:eastAsiaTheme="minorEastAsia" w:cs="B Nazanin"/>
              <w:b w:val="0"/>
              <w:bCs w:val="0"/>
              <w:i/>
              <w:iCs/>
              <w:caps w:val="0"/>
              <w:noProof/>
              <w:sz w:val="24"/>
            </w:rPr>
          </w:pPr>
          <w:hyperlink w:anchor="_Toc397212646" w:history="1">
            <w:r w:rsidR="00641AA7" w:rsidRPr="00505B8A">
              <w:rPr>
                <w:rStyle w:val="Hyperlink"/>
                <w:rFonts w:cs="B Nazanin" w:hint="eastAsia"/>
                <w:i/>
                <w:iCs/>
                <w:noProof/>
                <w:sz w:val="24"/>
                <w:u w:val="none"/>
                <w:rtl/>
                <w:lang w:bidi="fa-IR"/>
              </w:rPr>
              <w:t>فصل</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سوم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مانع</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اجرا</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آرا</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داور</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تجار</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ب</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ن‌الملل</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_Toc397212646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62</w:t>
            </w:r>
            <w:r w:rsidR="00E33025" w:rsidRPr="00505B8A">
              <w:rPr>
                <w:rFonts w:cs="B Nazanin"/>
                <w:i/>
                <w:iCs/>
                <w:noProof/>
                <w:webHidden/>
                <w:sz w:val="24"/>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47" w:history="1">
            <w:r w:rsidR="00641AA7" w:rsidRPr="00505B8A">
              <w:rPr>
                <w:rStyle w:val="Hyperlink"/>
                <w:rFonts w:cs="B Nazanin" w:hint="eastAsia"/>
                <w:i/>
                <w:iCs/>
                <w:noProof/>
                <w:sz w:val="24"/>
                <w:u w:val="none"/>
                <w:rtl/>
              </w:rPr>
              <w:t>گفتار</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اول</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به</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دنبال</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تعر</w:t>
            </w:r>
            <w:r w:rsidR="00641AA7" w:rsidRPr="00505B8A">
              <w:rPr>
                <w:rStyle w:val="Hyperlink"/>
                <w:rFonts w:cs="B Nazanin" w:hint="cs"/>
                <w:i/>
                <w:iCs/>
                <w:noProof/>
                <w:sz w:val="24"/>
                <w:u w:val="none"/>
                <w:rtl/>
              </w:rPr>
              <w:t>ی</w:t>
            </w:r>
            <w:r w:rsidR="00641AA7" w:rsidRPr="00505B8A">
              <w:rPr>
                <w:rStyle w:val="Hyperlink"/>
                <w:rFonts w:cs="B Nazanin" w:hint="eastAsia"/>
                <w:i/>
                <w:iCs/>
                <w:noProof/>
                <w:sz w:val="24"/>
                <w:u w:val="none"/>
                <w:rtl/>
              </w:rPr>
              <w:t>ف</w:t>
            </w:r>
            <w:r w:rsidR="00641AA7" w:rsidRPr="00505B8A">
              <w:rPr>
                <w:rStyle w:val="Hyperlink"/>
                <w:rFonts w:cs="B Nazanin" w:hint="cs"/>
                <w:i/>
                <w:iCs/>
                <w:noProof/>
                <w:sz w:val="24"/>
                <w:u w:val="none"/>
                <w:rtl/>
              </w:rPr>
              <w:t>ی</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از</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نظم</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عموم</w:t>
            </w:r>
            <w:r w:rsidR="00641AA7" w:rsidRPr="00505B8A">
              <w:rPr>
                <w:rStyle w:val="Hyperlink"/>
                <w:rFonts w:cs="B Nazanin" w:hint="cs"/>
                <w:i/>
                <w:iCs/>
                <w:noProof/>
                <w:sz w:val="24"/>
                <w:u w:val="none"/>
                <w:rtl/>
              </w:rPr>
              <w:t>ی</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به</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عنوان</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مانع</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اجرا</w:t>
            </w:r>
            <w:r w:rsidR="00641AA7" w:rsidRPr="00505B8A">
              <w:rPr>
                <w:rStyle w:val="Hyperlink"/>
                <w:rFonts w:cs="B Nazanin" w:hint="cs"/>
                <w:i/>
                <w:iCs/>
                <w:noProof/>
                <w:sz w:val="24"/>
                <w:u w:val="none"/>
                <w:rtl/>
              </w:rPr>
              <w:t>ی</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رأ</w:t>
            </w:r>
            <w:r w:rsidR="00641AA7" w:rsidRPr="00505B8A">
              <w:rPr>
                <w:rStyle w:val="Hyperlink"/>
                <w:rFonts w:cs="B Nazanin" w:hint="cs"/>
                <w:i/>
                <w:iCs/>
                <w:noProof/>
                <w:sz w:val="24"/>
                <w:u w:val="none"/>
                <w:rtl/>
              </w:rPr>
              <w:t>ی</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داور</w:t>
            </w:r>
            <w:r w:rsidR="00641AA7" w:rsidRPr="00505B8A">
              <w:rPr>
                <w:rStyle w:val="Hyperlink"/>
                <w:rFonts w:cs="B Nazanin" w:hint="cs"/>
                <w:i/>
                <w:iCs/>
                <w:noProof/>
                <w:sz w:val="24"/>
                <w:u w:val="none"/>
                <w:rtl/>
              </w:rPr>
              <w:t>ی</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تجار</w:t>
            </w:r>
            <w:r w:rsidR="00641AA7" w:rsidRPr="00505B8A">
              <w:rPr>
                <w:rStyle w:val="Hyperlink"/>
                <w:rFonts w:cs="B Nazanin" w:hint="cs"/>
                <w:i/>
                <w:iCs/>
                <w:noProof/>
                <w:sz w:val="24"/>
                <w:u w:val="none"/>
                <w:rtl/>
              </w:rPr>
              <w:t>ی</w:t>
            </w:r>
            <w:r w:rsidR="00641AA7" w:rsidRPr="00505B8A">
              <w:rPr>
                <w:rStyle w:val="Hyperlink"/>
                <w:rFonts w:cs="B Nazanin"/>
                <w:i/>
                <w:iCs/>
                <w:noProof/>
                <w:sz w:val="24"/>
                <w:u w:val="none"/>
                <w:rtl/>
              </w:rPr>
              <w:t xml:space="preserve"> </w:t>
            </w:r>
            <w:r w:rsidR="00641AA7" w:rsidRPr="00505B8A">
              <w:rPr>
                <w:rStyle w:val="Hyperlink"/>
                <w:rFonts w:cs="B Nazanin" w:hint="eastAsia"/>
                <w:i/>
                <w:iCs/>
                <w:noProof/>
                <w:sz w:val="24"/>
                <w:u w:val="none"/>
                <w:rtl/>
              </w:rPr>
              <w:t>ب</w:t>
            </w:r>
            <w:r w:rsidR="00641AA7" w:rsidRPr="00505B8A">
              <w:rPr>
                <w:rStyle w:val="Hyperlink"/>
                <w:rFonts w:cs="B Nazanin" w:hint="cs"/>
                <w:i/>
                <w:iCs/>
                <w:noProof/>
                <w:sz w:val="24"/>
                <w:u w:val="none"/>
                <w:rtl/>
              </w:rPr>
              <w:t>ی</w:t>
            </w:r>
            <w:r w:rsidR="00641AA7" w:rsidRPr="00505B8A">
              <w:rPr>
                <w:rStyle w:val="Hyperlink"/>
                <w:rFonts w:cs="B Nazanin" w:hint="eastAsia"/>
                <w:i/>
                <w:iCs/>
                <w:noProof/>
                <w:sz w:val="24"/>
                <w:u w:val="none"/>
                <w:rtl/>
              </w:rPr>
              <w:t>ن‌الملل</w:t>
            </w:r>
            <w:r w:rsidR="00641AA7" w:rsidRPr="00505B8A">
              <w:rPr>
                <w:rStyle w:val="Hyperlink"/>
                <w:rFonts w:cs="B Nazanin" w:hint="cs"/>
                <w:i/>
                <w:iCs/>
                <w:noProof/>
                <w:sz w:val="24"/>
                <w:u w:val="none"/>
                <w:rtl/>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_Toc397212647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63</w:t>
            </w:r>
            <w:r w:rsidR="00E33025" w:rsidRPr="00505B8A">
              <w:rPr>
                <w:rFonts w:cs="B Nazanin"/>
                <w:i/>
                <w:iCs/>
                <w:noProof/>
                <w:webHidden/>
                <w:sz w:val="24"/>
              </w:rPr>
              <w:fldChar w:fldCharType="end"/>
            </w:r>
          </w:hyperlink>
        </w:p>
        <w:p w:rsidR="00641AA7" w:rsidRPr="00505B8A" w:rsidRDefault="003B02A5" w:rsidP="00505B8A">
          <w:pPr>
            <w:pStyle w:val="TOC3"/>
            <w:rPr>
              <w:rFonts w:eastAsiaTheme="minorEastAsia"/>
            </w:rPr>
          </w:pPr>
          <w:hyperlink w:anchor="_Toc397212648" w:history="1">
            <w:r w:rsidR="00641AA7" w:rsidRPr="00505B8A">
              <w:rPr>
                <w:rStyle w:val="Hyperlink"/>
                <w:u w:val="none"/>
                <w:rtl/>
              </w:rPr>
              <w:t>1-1)</w:t>
            </w:r>
            <w:r w:rsidR="004C7534" w:rsidRPr="00505B8A">
              <w:rPr>
                <w:rFonts w:eastAsiaTheme="minorEastAsia" w:hint="cs"/>
                <w:rtl/>
              </w:rPr>
              <w:t xml:space="preserve"> </w:t>
            </w:r>
            <w:r w:rsidR="00641AA7" w:rsidRPr="00505B8A">
              <w:rPr>
                <w:rStyle w:val="Hyperlink"/>
                <w:rFonts w:hint="eastAsia"/>
                <w:u w:val="none"/>
                <w:rtl/>
              </w:rPr>
              <w:t>نقض</w:t>
            </w:r>
            <w:r w:rsidR="00641AA7" w:rsidRPr="00505B8A">
              <w:rPr>
                <w:rStyle w:val="Hyperlink"/>
                <w:u w:val="none"/>
                <w:rtl/>
              </w:rPr>
              <w:t xml:space="preserve"> </w:t>
            </w:r>
            <w:r w:rsidR="00641AA7" w:rsidRPr="00505B8A">
              <w:rPr>
                <w:rStyle w:val="Hyperlink"/>
                <w:rFonts w:hint="eastAsia"/>
                <w:u w:val="none"/>
                <w:rtl/>
              </w:rPr>
              <w:t>مفاه</w:t>
            </w:r>
            <w:r w:rsidR="00641AA7" w:rsidRPr="00505B8A">
              <w:rPr>
                <w:rStyle w:val="Hyperlink"/>
                <w:rFonts w:hint="cs"/>
                <w:u w:val="none"/>
                <w:rtl/>
              </w:rPr>
              <w:t>ی</w:t>
            </w:r>
            <w:r w:rsidR="00641AA7" w:rsidRPr="00505B8A">
              <w:rPr>
                <w:rStyle w:val="Hyperlink"/>
                <w:rFonts w:hint="eastAsia"/>
                <w:u w:val="none"/>
                <w:rtl/>
              </w:rPr>
              <w:t>م</w:t>
            </w:r>
            <w:r w:rsidR="00641AA7" w:rsidRPr="00505B8A">
              <w:rPr>
                <w:rStyle w:val="Hyperlink"/>
                <w:u w:val="none"/>
                <w:rtl/>
              </w:rPr>
              <w:t xml:space="preserve"> </w:t>
            </w:r>
            <w:r w:rsidR="00641AA7" w:rsidRPr="00505B8A">
              <w:rPr>
                <w:rStyle w:val="Hyperlink"/>
                <w:rFonts w:hint="eastAsia"/>
                <w:u w:val="none"/>
                <w:rtl/>
              </w:rPr>
              <w:t>اساس</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اخلاق</w:t>
            </w:r>
            <w:r w:rsidR="00641AA7" w:rsidRPr="00505B8A">
              <w:rPr>
                <w:rStyle w:val="Hyperlink"/>
                <w:u w:val="none"/>
                <w:rtl/>
              </w:rPr>
              <w:t xml:space="preserve"> </w:t>
            </w:r>
            <w:r w:rsidR="00641AA7" w:rsidRPr="00505B8A">
              <w:rPr>
                <w:rStyle w:val="Hyperlink"/>
                <w:rFonts w:hint="eastAsia"/>
                <w:u w:val="none"/>
                <w:rtl/>
              </w:rPr>
              <w:t>و</w:t>
            </w:r>
            <w:r w:rsidR="00641AA7" w:rsidRPr="00505B8A">
              <w:rPr>
                <w:rStyle w:val="Hyperlink"/>
                <w:u w:val="none"/>
                <w:rtl/>
              </w:rPr>
              <w:t xml:space="preserve"> </w:t>
            </w:r>
            <w:r w:rsidR="00641AA7" w:rsidRPr="00505B8A">
              <w:rPr>
                <w:rStyle w:val="Hyperlink"/>
                <w:rFonts w:hint="eastAsia"/>
                <w:u w:val="none"/>
                <w:rtl/>
              </w:rPr>
              <w:t>عدالت</w:t>
            </w:r>
            <w:r w:rsidR="00641AA7" w:rsidRPr="00505B8A">
              <w:rPr>
                <w:webHidden/>
              </w:rPr>
              <w:tab/>
            </w:r>
            <w:r w:rsidR="00E33025" w:rsidRPr="00505B8A">
              <w:rPr>
                <w:webHidden/>
              </w:rPr>
              <w:fldChar w:fldCharType="begin"/>
            </w:r>
            <w:r w:rsidR="00641AA7" w:rsidRPr="00505B8A">
              <w:rPr>
                <w:webHidden/>
              </w:rPr>
              <w:instrText xml:space="preserve"> PAGEREF _Toc397212648 \h </w:instrText>
            </w:r>
            <w:r w:rsidR="00E33025" w:rsidRPr="00505B8A">
              <w:rPr>
                <w:webHidden/>
              </w:rPr>
            </w:r>
            <w:r w:rsidR="00E33025" w:rsidRPr="00505B8A">
              <w:rPr>
                <w:webHidden/>
              </w:rPr>
              <w:fldChar w:fldCharType="separate"/>
            </w:r>
            <w:r w:rsidR="003D77FE">
              <w:rPr>
                <w:webHidden/>
                <w:rtl/>
                <w:lang w:bidi="ar-SA"/>
              </w:rPr>
              <w:t>63</w:t>
            </w:r>
            <w:r w:rsidR="00E33025" w:rsidRPr="00505B8A">
              <w:rPr>
                <w:webHidden/>
              </w:rPr>
              <w:fldChar w:fldCharType="end"/>
            </w:r>
          </w:hyperlink>
        </w:p>
        <w:p w:rsidR="00641AA7" w:rsidRPr="00505B8A" w:rsidRDefault="003B02A5" w:rsidP="00505B8A">
          <w:pPr>
            <w:pStyle w:val="TOC3"/>
            <w:rPr>
              <w:rFonts w:eastAsiaTheme="minorEastAsia"/>
            </w:rPr>
          </w:pPr>
          <w:hyperlink w:anchor="_Toc397212649" w:history="1">
            <w:r w:rsidR="00641AA7" w:rsidRPr="00505B8A">
              <w:rPr>
                <w:rStyle w:val="Hyperlink"/>
                <w:u w:val="none"/>
                <w:rtl/>
              </w:rPr>
              <w:t xml:space="preserve">1-2) </w:t>
            </w:r>
            <w:r w:rsidR="00641AA7" w:rsidRPr="00505B8A">
              <w:rPr>
                <w:rStyle w:val="Hyperlink"/>
                <w:rFonts w:hint="eastAsia"/>
                <w:u w:val="none"/>
                <w:rtl/>
              </w:rPr>
              <w:t>کاربرد</w:t>
            </w:r>
            <w:r w:rsidR="00641AA7" w:rsidRPr="00505B8A">
              <w:rPr>
                <w:rStyle w:val="Hyperlink"/>
                <w:u w:val="none"/>
                <w:rtl/>
              </w:rPr>
              <w:t xml:space="preserve"> </w:t>
            </w:r>
            <w:r w:rsidR="00641AA7" w:rsidRPr="00505B8A">
              <w:rPr>
                <w:rStyle w:val="Hyperlink"/>
                <w:rFonts w:hint="eastAsia"/>
                <w:u w:val="none"/>
                <w:rtl/>
              </w:rPr>
              <w:t>مفهوم</w:t>
            </w:r>
            <w:r w:rsidR="00641AA7" w:rsidRPr="00505B8A">
              <w:rPr>
                <w:rStyle w:val="Hyperlink"/>
                <w:u w:val="none"/>
                <w:rtl/>
              </w:rPr>
              <w:t xml:space="preserve">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ب</w:t>
            </w:r>
            <w:r w:rsidR="00641AA7" w:rsidRPr="00505B8A">
              <w:rPr>
                <w:rStyle w:val="Hyperlink"/>
                <w:rFonts w:hint="cs"/>
                <w:u w:val="none"/>
                <w:rtl/>
              </w:rPr>
              <w:t>ی</w:t>
            </w:r>
            <w:r w:rsidR="00641AA7" w:rsidRPr="00505B8A">
              <w:rPr>
                <w:rStyle w:val="Hyperlink"/>
                <w:rFonts w:hint="eastAsia"/>
                <w:u w:val="none"/>
                <w:rtl/>
              </w:rPr>
              <w:t>ن‌الملل</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در</w:t>
            </w:r>
            <w:r w:rsidR="00641AA7" w:rsidRPr="00505B8A">
              <w:rPr>
                <w:rStyle w:val="Hyperlink"/>
                <w:u w:val="none"/>
                <w:rtl/>
              </w:rPr>
              <w:t xml:space="preserve"> </w:t>
            </w:r>
            <w:r w:rsidR="00641AA7" w:rsidRPr="00505B8A">
              <w:rPr>
                <w:rStyle w:val="Hyperlink"/>
                <w:rFonts w:hint="eastAsia"/>
                <w:u w:val="none"/>
                <w:rtl/>
              </w:rPr>
              <w:t>زم</w:t>
            </w:r>
            <w:r w:rsidR="00641AA7" w:rsidRPr="00505B8A">
              <w:rPr>
                <w:rStyle w:val="Hyperlink"/>
                <w:rFonts w:hint="cs"/>
                <w:u w:val="none"/>
                <w:rtl/>
              </w:rPr>
              <w:t>ی</w:t>
            </w:r>
            <w:r w:rsidR="00641AA7" w:rsidRPr="00505B8A">
              <w:rPr>
                <w:rStyle w:val="Hyperlink"/>
                <w:rFonts w:hint="eastAsia"/>
                <w:u w:val="none"/>
                <w:rtl/>
              </w:rPr>
              <w:t>نه</w:t>
            </w:r>
            <w:r w:rsidR="00641AA7" w:rsidRPr="00505B8A">
              <w:rPr>
                <w:rStyle w:val="Hyperlink"/>
                <w:u w:val="none"/>
                <w:rtl/>
              </w:rPr>
              <w:t xml:space="preserve"> </w:t>
            </w:r>
            <w:r w:rsidR="00641AA7" w:rsidRPr="00505B8A">
              <w:rPr>
                <w:rStyle w:val="Hyperlink"/>
                <w:rFonts w:hint="eastAsia"/>
                <w:u w:val="none"/>
                <w:rtl/>
              </w:rPr>
              <w:t>امتناع</w:t>
            </w:r>
            <w:r w:rsidR="00641AA7" w:rsidRPr="00505B8A">
              <w:rPr>
                <w:rStyle w:val="Hyperlink"/>
                <w:u w:val="none"/>
                <w:rtl/>
              </w:rPr>
              <w:t xml:space="preserve"> </w:t>
            </w:r>
            <w:r w:rsidR="00641AA7" w:rsidRPr="00505B8A">
              <w:rPr>
                <w:rStyle w:val="Hyperlink"/>
                <w:rFonts w:hint="eastAsia"/>
                <w:u w:val="none"/>
                <w:rtl/>
              </w:rPr>
              <w:t>از</w:t>
            </w:r>
            <w:r w:rsidR="00641AA7" w:rsidRPr="00505B8A">
              <w:rPr>
                <w:rStyle w:val="Hyperlink"/>
                <w:u w:val="none"/>
                <w:rtl/>
              </w:rPr>
              <w:t xml:space="preserve"> </w:t>
            </w:r>
            <w:r w:rsidR="00641AA7" w:rsidRPr="00505B8A">
              <w:rPr>
                <w:rStyle w:val="Hyperlink"/>
                <w:rFonts w:hint="eastAsia"/>
                <w:u w:val="none"/>
                <w:rtl/>
              </w:rPr>
              <w:t>اجرا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رأ</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_Toc397212649 \h </w:instrText>
            </w:r>
            <w:r w:rsidR="00E33025" w:rsidRPr="00505B8A">
              <w:rPr>
                <w:webHidden/>
              </w:rPr>
            </w:r>
            <w:r w:rsidR="00E33025" w:rsidRPr="00505B8A">
              <w:rPr>
                <w:webHidden/>
              </w:rPr>
              <w:fldChar w:fldCharType="separate"/>
            </w:r>
            <w:r w:rsidR="003D77FE">
              <w:rPr>
                <w:webHidden/>
                <w:rtl/>
                <w:lang w:bidi="ar-SA"/>
              </w:rPr>
              <w:t>64</w:t>
            </w:r>
            <w:r w:rsidR="00E33025" w:rsidRPr="00505B8A">
              <w:rPr>
                <w:webHidden/>
              </w:rPr>
              <w:fldChar w:fldCharType="end"/>
            </w:r>
          </w:hyperlink>
        </w:p>
        <w:p w:rsidR="00641AA7" w:rsidRPr="00505B8A" w:rsidRDefault="003B02A5" w:rsidP="00505B8A">
          <w:pPr>
            <w:pStyle w:val="TOC3"/>
            <w:rPr>
              <w:rFonts w:eastAsiaTheme="minorEastAsia"/>
            </w:rPr>
          </w:pPr>
          <w:hyperlink w:anchor="_Toc397212650" w:history="1">
            <w:r w:rsidR="00641AA7" w:rsidRPr="00505B8A">
              <w:rPr>
                <w:rStyle w:val="Hyperlink"/>
                <w:u w:val="none"/>
                <w:rtl/>
              </w:rPr>
              <w:t xml:space="preserve">1-3) </w:t>
            </w:r>
            <w:r w:rsidR="00641AA7" w:rsidRPr="00505B8A">
              <w:rPr>
                <w:rStyle w:val="Hyperlink"/>
                <w:rFonts w:hint="eastAsia"/>
                <w:u w:val="none"/>
                <w:rtl/>
              </w:rPr>
              <w:t>کاربرد</w:t>
            </w:r>
            <w:r w:rsidR="00641AA7" w:rsidRPr="00505B8A">
              <w:rPr>
                <w:rStyle w:val="Hyperlink"/>
                <w:u w:val="none"/>
                <w:rtl/>
              </w:rPr>
              <w:t xml:space="preserve">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واقعاً</w:t>
            </w:r>
            <w:r w:rsidR="00641AA7" w:rsidRPr="00505B8A">
              <w:rPr>
                <w:rStyle w:val="Hyperlink"/>
                <w:u w:val="none"/>
                <w:rtl/>
              </w:rPr>
              <w:t xml:space="preserve"> </w:t>
            </w:r>
            <w:r w:rsidR="00641AA7" w:rsidRPr="00505B8A">
              <w:rPr>
                <w:rStyle w:val="Hyperlink"/>
                <w:rFonts w:hint="eastAsia"/>
                <w:u w:val="none"/>
                <w:rtl/>
              </w:rPr>
              <w:t>ب</w:t>
            </w:r>
            <w:r w:rsidR="00641AA7" w:rsidRPr="00505B8A">
              <w:rPr>
                <w:rStyle w:val="Hyperlink"/>
                <w:rFonts w:hint="cs"/>
                <w:u w:val="none"/>
                <w:rtl/>
              </w:rPr>
              <w:t>ی</w:t>
            </w:r>
            <w:r w:rsidR="00641AA7" w:rsidRPr="00505B8A">
              <w:rPr>
                <w:rStyle w:val="Hyperlink"/>
                <w:rFonts w:hint="eastAsia"/>
                <w:u w:val="none"/>
                <w:rtl/>
              </w:rPr>
              <w:t>ن‌الملل</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cs"/>
                <w:u w:val="none"/>
                <w:rtl/>
              </w:rPr>
              <w:t>ی</w:t>
            </w:r>
            <w:r w:rsidR="00641AA7" w:rsidRPr="00505B8A">
              <w:rPr>
                <w:rStyle w:val="Hyperlink"/>
                <w:rFonts w:hint="eastAsia"/>
                <w:u w:val="none"/>
                <w:rtl/>
              </w:rPr>
              <w:t>ا</w:t>
            </w:r>
            <w:r w:rsidR="00641AA7" w:rsidRPr="00505B8A">
              <w:rPr>
                <w:rStyle w:val="Hyperlink"/>
                <w:u w:val="none"/>
                <w:rtl/>
              </w:rPr>
              <w:t xml:space="preserve">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فرامل</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در</w:t>
            </w:r>
            <w:r w:rsidR="00641AA7" w:rsidRPr="00505B8A">
              <w:rPr>
                <w:rStyle w:val="Hyperlink"/>
                <w:u w:val="none"/>
                <w:rtl/>
              </w:rPr>
              <w:t xml:space="preserve"> </w:t>
            </w:r>
            <w:r w:rsidR="00641AA7" w:rsidRPr="00505B8A">
              <w:rPr>
                <w:rStyle w:val="Hyperlink"/>
                <w:rFonts w:hint="eastAsia"/>
                <w:u w:val="none"/>
                <w:rtl/>
              </w:rPr>
              <w:t>زم</w:t>
            </w:r>
            <w:r w:rsidR="00641AA7" w:rsidRPr="00505B8A">
              <w:rPr>
                <w:rStyle w:val="Hyperlink"/>
                <w:rFonts w:hint="cs"/>
                <w:u w:val="none"/>
                <w:rtl/>
              </w:rPr>
              <w:t>ی</w:t>
            </w:r>
            <w:r w:rsidR="00641AA7" w:rsidRPr="00505B8A">
              <w:rPr>
                <w:rStyle w:val="Hyperlink"/>
                <w:rFonts w:hint="eastAsia"/>
                <w:u w:val="none"/>
                <w:rtl/>
              </w:rPr>
              <w:t>نه</w:t>
            </w:r>
            <w:r w:rsidR="00641AA7" w:rsidRPr="00505B8A">
              <w:rPr>
                <w:rStyle w:val="Hyperlink"/>
                <w:u w:val="none"/>
                <w:rtl/>
              </w:rPr>
              <w:t xml:space="preserve"> </w:t>
            </w:r>
            <w:r w:rsidR="00641AA7" w:rsidRPr="00505B8A">
              <w:rPr>
                <w:rStyle w:val="Hyperlink"/>
                <w:rFonts w:hint="eastAsia"/>
                <w:u w:val="none"/>
                <w:rtl/>
              </w:rPr>
              <w:t>امتناع</w:t>
            </w:r>
            <w:r w:rsidR="00641AA7" w:rsidRPr="00505B8A">
              <w:rPr>
                <w:rStyle w:val="Hyperlink"/>
                <w:u w:val="none"/>
                <w:rtl/>
              </w:rPr>
              <w:t xml:space="preserve"> </w:t>
            </w:r>
            <w:r w:rsidR="00641AA7" w:rsidRPr="00505B8A">
              <w:rPr>
                <w:rStyle w:val="Hyperlink"/>
                <w:rFonts w:hint="eastAsia"/>
                <w:u w:val="none"/>
                <w:rtl/>
              </w:rPr>
              <w:t>از</w:t>
            </w:r>
            <w:r w:rsidR="00641AA7" w:rsidRPr="00505B8A">
              <w:rPr>
                <w:rStyle w:val="Hyperlink"/>
                <w:u w:val="none"/>
                <w:rtl/>
              </w:rPr>
              <w:t xml:space="preserve"> </w:t>
            </w:r>
            <w:r w:rsidR="00641AA7" w:rsidRPr="00505B8A">
              <w:rPr>
                <w:rStyle w:val="Hyperlink"/>
                <w:rFonts w:hint="eastAsia"/>
                <w:u w:val="none"/>
                <w:rtl/>
              </w:rPr>
              <w:t>اجرا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رأ</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_Toc397212650 \h </w:instrText>
            </w:r>
            <w:r w:rsidR="00E33025" w:rsidRPr="00505B8A">
              <w:rPr>
                <w:webHidden/>
              </w:rPr>
            </w:r>
            <w:r w:rsidR="00E33025" w:rsidRPr="00505B8A">
              <w:rPr>
                <w:webHidden/>
              </w:rPr>
              <w:fldChar w:fldCharType="separate"/>
            </w:r>
            <w:r w:rsidR="003D77FE">
              <w:rPr>
                <w:webHidden/>
                <w:rtl/>
                <w:lang w:bidi="ar-SA"/>
              </w:rPr>
              <w:t>67</w:t>
            </w:r>
            <w:r w:rsidR="00E33025" w:rsidRPr="00505B8A">
              <w:rPr>
                <w:webHidden/>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51"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کنوانس</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ون‌ها</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اجرا</w:t>
            </w:r>
            <w:r w:rsidR="00641AA7" w:rsidRPr="00505B8A">
              <w:rPr>
                <w:rStyle w:val="Hyperlink"/>
                <w:rFonts w:cs="B Nazanin" w:hint="cs"/>
                <w:i/>
                <w:iCs/>
                <w:noProof/>
                <w:sz w:val="24"/>
                <w:u w:val="none"/>
                <w:rtl/>
                <w:lang w:bidi="fa-IR"/>
              </w:rPr>
              <w:t>یی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و</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قوان</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ن</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مل</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_Toc397212651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68</w:t>
            </w:r>
            <w:r w:rsidR="00E33025" w:rsidRPr="00505B8A">
              <w:rPr>
                <w:rFonts w:cs="B Nazanin"/>
                <w:i/>
                <w:iCs/>
                <w:noProof/>
                <w:webHidden/>
                <w:sz w:val="24"/>
              </w:rPr>
              <w:fldChar w:fldCharType="end"/>
            </w:r>
          </w:hyperlink>
        </w:p>
        <w:p w:rsidR="00641AA7" w:rsidRPr="00505B8A" w:rsidRDefault="003B02A5" w:rsidP="00505B8A">
          <w:pPr>
            <w:pStyle w:val="TOC3"/>
            <w:rPr>
              <w:rFonts w:eastAsiaTheme="minorEastAsia"/>
            </w:rPr>
          </w:pPr>
          <w:hyperlink w:anchor="_Toc397212652" w:history="1">
            <w:r w:rsidR="00641AA7" w:rsidRPr="00505B8A">
              <w:rPr>
                <w:rStyle w:val="Hyperlink"/>
                <w:u w:val="none"/>
                <w:rtl/>
              </w:rPr>
              <w:t xml:space="preserve">2-1) </w:t>
            </w:r>
            <w:r w:rsidR="00641AA7" w:rsidRPr="00505B8A">
              <w:rPr>
                <w:rStyle w:val="Hyperlink"/>
                <w:rFonts w:hint="eastAsia"/>
                <w:u w:val="none"/>
                <w:rtl/>
              </w:rPr>
              <w:t>کنوانس</w:t>
            </w:r>
            <w:r w:rsidR="00641AA7" w:rsidRPr="00505B8A">
              <w:rPr>
                <w:rStyle w:val="Hyperlink"/>
                <w:rFonts w:hint="cs"/>
                <w:u w:val="none"/>
                <w:rtl/>
              </w:rPr>
              <w:t>ی</w:t>
            </w:r>
            <w:r w:rsidR="00641AA7" w:rsidRPr="00505B8A">
              <w:rPr>
                <w:rStyle w:val="Hyperlink"/>
                <w:rFonts w:hint="eastAsia"/>
                <w:u w:val="none"/>
                <w:rtl/>
              </w:rPr>
              <w:t>ون</w:t>
            </w:r>
            <w:r w:rsidR="00641AA7" w:rsidRPr="00505B8A">
              <w:rPr>
                <w:rStyle w:val="Hyperlink"/>
                <w:u w:val="none"/>
                <w:rtl/>
              </w:rPr>
              <w:t xml:space="preserve"> </w:t>
            </w:r>
            <w:r w:rsidR="00641AA7" w:rsidRPr="00505B8A">
              <w:rPr>
                <w:rStyle w:val="Hyperlink"/>
                <w:rFonts w:hint="eastAsia"/>
                <w:u w:val="none"/>
                <w:rtl/>
              </w:rPr>
              <w:t>ن</w:t>
            </w:r>
            <w:r w:rsidR="00641AA7" w:rsidRPr="00505B8A">
              <w:rPr>
                <w:rStyle w:val="Hyperlink"/>
                <w:rFonts w:hint="cs"/>
                <w:u w:val="none"/>
                <w:rtl/>
              </w:rPr>
              <w:t>ی</w:t>
            </w:r>
            <w:r w:rsidR="00641AA7" w:rsidRPr="00505B8A">
              <w:rPr>
                <w:rStyle w:val="Hyperlink"/>
                <w:rFonts w:hint="eastAsia"/>
                <w:u w:val="none"/>
                <w:rtl/>
              </w:rPr>
              <w:t>و</w:t>
            </w:r>
            <w:r w:rsidR="00641AA7" w:rsidRPr="00505B8A">
              <w:rPr>
                <w:rStyle w:val="Hyperlink"/>
                <w:rFonts w:hint="cs"/>
                <w:u w:val="none"/>
                <w:rtl/>
              </w:rPr>
              <w:t>ی</w:t>
            </w:r>
            <w:r w:rsidR="00641AA7" w:rsidRPr="00505B8A">
              <w:rPr>
                <w:rStyle w:val="Hyperlink"/>
                <w:rFonts w:hint="eastAsia"/>
                <w:u w:val="none"/>
                <w:rtl/>
              </w:rPr>
              <w:t>ورک</w:t>
            </w:r>
            <w:r w:rsidR="00641AA7" w:rsidRPr="00505B8A">
              <w:rPr>
                <w:rStyle w:val="Hyperlink"/>
                <w:u w:val="none"/>
                <w:rtl/>
              </w:rPr>
              <w:t xml:space="preserve"> 1958</w:t>
            </w:r>
            <w:r w:rsidR="00641AA7" w:rsidRPr="00505B8A">
              <w:rPr>
                <w:webHidden/>
              </w:rPr>
              <w:tab/>
            </w:r>
            <w:r w:rsidR="00E33025" w:rsidRPr="00505B8A">
              <w:rPr>
                <w:webHidden/>
              </w:rPr>
              <w:fldChar w:fldCharType="begin"/>
            </w:r>
            <w:r w:rsidR="00641AA7" w:rsidRPr="00505B8A">
              <w:rPr>
                <w:webHidden/>
              </w:rPr>
              <w:instrText xml:space="preserve"> PAGEREF _Toc397212652 \h </w:instrText>
            </w:r>
            <w:r w:rsidR="00E33025" w:rsidRPr="00505B8A">
              <w:rPr>
                <w:webHidden/>
              </w:rPr>
            </w:r>
            <w:r w:rsidR="00E33025" w:rsidRPr="00505B8A">
              <w:rPr>
                <w:webHidden/>
              </w:rPr>
              <w:fldChar w:fldCharType="separate"/>
            </w:r>
            <w:r w:rsidR="003D77FE">
              <w:rPr>
                <w:webHidden/>
                <w:rtl/>
                <w:lang w:bidi="ar-SA"/>
              </w:rPr>
              <w:t>68</w:t>
            </w:r>
            <w:r w:rsidR="00E33025" w:rsidRPr="00505B8A">
              <w:rPr>
                <w:webHidden/>
              </w:rPr>
              <w:fldChar w:fldCharType="end"/>
            </w:r>
          </w:hyperlink>
        </w:p>
        <w:p w:rsidR="00641AA7" w:rsidRPr="00505B8A" w:rsidRDefault="003B02A5" w:rsidP="00505B8A">
          <w:pPr>
            <w:pStyle w:val="TOC3"/>
            <w:rPr>
              <w:rFonts w:eastAsiaTheme="minorEastAsia"/>
            </w:rPr>
          </w:pPr>
          <w:hyperlink w:anchor="_Toc397212653" w:history="1">
            <w:r w:rsidR="00641AA7" w:rsidRPr="00505B8A">
              <w:rPr>
                <w:rStyle w:val="Hyperlink"/>
                <w:u w:val="none"/>
                <w:rtl/>
              </w:rPr>
              <w:t xml:space="preserve">2-2) </w:t>
            </w:r>
            <w:r w:rsidR="00641AA7" w:rsidRPr="00505B8A">
              <w:rPr>
                <w:rStyle w:val="Hyperlink"/>
                <w:rFonts w:hint="eastAsia"/>
                <w:u w:val="none"/>
                <w:rtl/>
              </w:rPr>
              <w:t>قانون</w:t>
            </w:r>
            <w:r w:rsidR="00641AA7" w:rsidRPr="00505B8A">
              <w:rPr>
                <w:rStyle w:val="Hyperlink"/>
                <w:u w:val="none"/>
                <w:rtl/>
              </w:rPr>
              <w:t xml:space="preserve"> </w:t>
            </w:r>
            <w:r w:rsidR="00641AA7" w:rsidRPr="00505B8A">
              <w:rPr>
                <w:rStyle w:val="Hyperlink"/>
                <w:rFonts w:hint="eastAsia"/>
                <w:u w:val="none"/>
                <w:rtl/>
              </w:rPr>
              <w:t>نمونه</w:t>
            </w:r>
            <w:r w:rsidR="00641AA7" w:rsidRPr="00505B8A">
              <w:rPr>
                <w:rStyle w:val="Hyperlink"/>
                <w:u w:val="none"/>
                <w:rtl/>
              </w:rPr>
              <w:t xml:space="preserve"> </w:t>
            </w:r>
            <w:r w:rsidR="00641AA7" w:rsidRPr="00505B8A">
              <w:rPr>
                <w:rStyle w:val="Hyperlink"/>
                <w:rFonts w:hint="eastAsia"/>
                <w:u w:val="none"/>
                <w:rtl/>
              </w:rPr>
              <w:t>آنس</w:t>
            </w:r>
            <w:r w:rsidR="00641AA7" w:rsidRPr="00505B8A">
              <w:rPr>
                <w:rStyle w:val="Hyperlink"/>
                <w:rFonts w:hint="cs"/>
                <w:u w:val="none"/>
                <w:rtl/>
              </w:rPr>
              <w:t>ی</w:t>
            </w:r>
            <w:r w:rsidR="00641AA7" w:rsidRPr="00505B8A">
              <w:rPr>
                <w:rStyle w:val="Hyperlink"/>
                <w:rFonts w:hint="eastAsia"/>
                <w:u w:val="none"/>
                <w:rtl/>
              </w:rPr>
              <w:t>ترال</w:t>
            </w:r>
            <w:r w:rsidR="00641AA7" w:rsidRPr="00505B8A">
              <w:rPr>
                <w:webHidden/>
              </w:rPr>
              <w:tab/>
            </w:r>
            <w:r w:rsidR="00E33025" w:rsidRPr="00505B8A">
              <w:rPr>
                <w:webHidden/>
              </w:rPr>
              <w:fldChar w:fldCharType="begin"/>
            </w:r>
            <w:r w:rsidR="00641AA7" w:rsidRPr="00505B8A">
              <w:rPr>
                <w:webHidden/>
              </w:rPr>
              <w:instrText xml:space="preserve"> PAGEREF _Toc397212653 \h </w:instrText>
            </w:r>
            <w:r w:rsidR="00E33025" w:rsidRPr="00505B8A">
              <w:rPr>
                <w:webHidden/>
              </w:rPr>
            </w:r>
            <w:r w:rsidR="00E33025" w:rsidRPr="00505B8A">
              <w:rPr>
                <w:webHidden/>
              </w:rPr>
              <w:fldChar w:fldCharType="separate"/>
            </w:r>
            <w:r w:rsidR="003D77FE">
              <w:rPr>
                <w:webHidden/>
                <w:rtl/>
                <w:lang w:bidi="ar-SA"/>
              </w:rPr>
              <w:t>70</w:t>
            </w:r>
            <w:r w:rsidR="00E33025" w:rsidRPr="00505B8A">
              <w:rPr>
                <w:webHidden/>
              </w:rPr>
              <w:fldChar w:fldCharType="end"/>
            </w:r>
          </w:hyperlink>
        </w:p>
        <w:p w:rsidR="00641AA7" w:rsidRPr="00505B8A" w:rsidRDefault="003B02A5" w:rsidP="00505B8A">
          <w:pPr>
            <w:pStyle w:val="TOC3"/>
            <w:rPr>
              <w:rFonts w:eastAsiaTheme="minorEastAsia"/>
            </w:rPr>
          </w:pPr>
          <w:hyperlink w:anchor="_Toc397212654" w:history="1">
            <w:r w:rsidR="00641AA7" w:rsidRPr="00505B8A">
              <w:rPr>
                <w:rStyle w:val="Hyperlink"/>
                <w:u w:val="none"/>
                <w:rtl/>
              </w:rPr>
              <w:t xml:space="preserve">2-3) </w:t>
            </w:r>
            <w:r w:rsidR="00641AA7" w:rsidRPr="00505B8A">
              <w:rPr>
                <w:rStyle w:val="Hyperlink"/>
                <w:rFonts w:hint="eastAsia"/>
                <w:u w:val="none"/>
                <w:rtl/>
              </w:rPr>
              <w:t>قانون</w:t>
            </w:r>
            <w:r w:rsidR="00641AA7" w:rsidRPr="00505B8A">
              <w:rPr>
                <w:rStyle w:val="Hyperlink"/>
                <w:u w:val="none"/>
                <w:rtl/>
              </w:rPr>
              <w:t xml:space="preserve"> </w:t>
            </w:r>
            <w:r w:rsidR="00641AA7" w:rsidRPr="00505B8A">
              <w:rPr>
                <w:rStyle w:val="Hyperlink"/>
                <w:rFonts w:hint="eastAsia"/>
                <w:u w:val="none"/>
                <w:rtl/>
              </w:rPr>
              <w:t>متحدالشکل</w:t>
            </w:r>
            <w:r w:rsidR="00641AA7" w:rsidRPr="00505B8A">
              <w:rPr>
                <w:rStyle w:val="Hyperlink"/>
                <w:u w:val="none"/>
                <w:rtl/>
              </w:rPr>
              <w:t xml:space="preserve"> </w:t>
            </w:r>
            <w:r w:rsidR="00641AA7" w:rsidRPr="00505B8A">
              <w:rPr>
                <w:rStyle w:val="Hyperlink"/>
                <w:rFonts w:hint="eastAsia"/>
                <w:u w:val="none"/>
                <w:rtl/>
              </w:rPr>
              <w:t>اوهادا</w:t>
            </w:r>
            <w:r w:rsidR="00641AA7" w:rsidRPr="00505B8A">
              <w:rPr>
                <w:webHidden/>
              </w:rPr>
              <w:tab/>
            </w:r>
            <w:r w:rsidR="00E33025" w:rsidRPr="00505B8A">
              <w:rPr>
                <w:webHidden/>
              </w:rPr>
              <w:fldChar w:fldCharType="begin"/>
            </w:r>
            <w:r w:rsidR="00641AA7" w:rsidRPr="00505B8A">
              <w:rPr>
                <w:webHidden/>
              </w:rPr>
              <w:instrText xml:space="preserve"> PAGEREF _Toc397212654 \h </w:instrText>
            </w:r>
            <w:r w:rsidR="00E33025" w:rsidRPr="00505B8A">
              <w:rPr>
                <w:webHidden/>
              </w:rPr>
            </w:r>
            <w:r w:rsidR="00E33025" w:rsidRPr="00505B8A">
              <w:rPr>
                <w:webHidden/>
              </w:rPr>
              <w:fldChar w:fldCharType="separate"/>
            </w:r>
            <w:r w:rsidR="003D77FE">
              <w:rPr>
                <w:webHidden/>
                <w:rtl/>
                <w:lang w:bidi="ar-SA"/>
              </w:rPr>
              <w:t>72</w:t>
            </w:r>
            <w:r w:rsidR="00E33025" w:rsidRPr="00505B8A">
              <w:rPr>
                <w:webHidden/>
              </w:rPr>
              <w:fldChar w:fldCharType="end"/>
            </w:r>
          </w:hyperlink>
        </w:p>
        <w:p w:rsidR="00641AA7" w:rsidRPr="00505B8A" w:rsidRDefault="003B02A5" w:rsidP="00505B8A">
          <w:pPr>
            <w:pStyle w:val="TOC3"/>
            <w:rPr>
              <w:rFonts w:eastAsiaTheme="minorEastAsia"/>
            </w:rPr>
          </w:pPr>
          <w:hyperlink w:anchor="_Toc397212655" w:history="1">
            <w:r w:rsidR="00641AA7" w:rsidRPr="00505B8A">
              <w:rPr>
                <w:rStyle w:val="Hyperlink"/>
                <w:u w:val="none"/>
                <w:rtl/>
              </w:rPr>
              <w:t xml:space="preserve">2-4) </w:t>
            </w:r>
            <w:r w:rsidR="00641AA7" w:rsidRPr="00505B8A">
              <w:rPr>
                <w:rStyle w:val="Hyperlink"/>
                <w:rFonts w:hint="eastAsia"/>
                <w:u w:val="none"/>
                <w:rtl/>
              </w:rPr>
              <w:t>د</w:t>
            </w:r>
            <w:r w:rsidR="00641AA7" w:rsidRPr="00505B8A">
              <w:rPr>
                <w:rStyle w:val="Hyperlink"/>
                <w:rFonts w:hint="cs"/>
                <w:u w:val="none"/>
                <w:rtl/>
              </w:rPr>
              <w:t>ی</w:t>
            </w:r>
            <w:r w:rsidR="00641AA7" w:rsidRPr="00505B8A">
              <w:rPr>
                <w:rStyle w:val="Hyperlink"/>
                <w:rFonts w:hint="eastAsia"/>
                <w:u w:val="none"/>
                <w:rtl/>
              </w:rPr>
              <w:t>گر</w:t>
            </w:r>
            <w:r w:rsidR="00641AA7" w:rsidRPr="00505B8A">
              <w:rPr>
                <w:rStyle w:val="Hyperlink"/>
                <w:u w:val="none"/>
                <w:rtl/>
              </w:rPr>
              <w:t xml:space="preserve"> </w:t>
            </w:r>
            <w:r w:rsidR="00641AA7" w:rsidRPr="00505B8A">
              <w:rPr>
                <w:rStyle w:val="Hyperlink"/>
                <w:rFonts w:hint="eastAsia"/>
                <w:u w:val="none"/>
                <w:rtl/>
              </w:rPr>
              <w:t>کنوانس</w:t>
            </w:r>
            <w:r w:rsidR="00641AA7" w:rsidRPr="00505B8A">
              <w:rPr>
                <w:rStyle w:val="Hyperlink"/>
                <w:rFonts w:hint="cs"/>
                <w:u w:val="none"/>
                <w:rtl/>
              </w:rPr>
              <w:t>ی</w:t>
            </w:r>
            <w:r w:rsidR="00641AA7" w:rsidRPr="00505B8A">
              <w:rPr>
                <w:rStyle w:val="Hyperlink"/>
                <w:rFonts w:hint="eastAsia"/>
                <w:u w:val="none"/>
                <w:rtl/>
              </w:rPr>
              <w:t>ون‌ها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ب</w:t>
            </w:r>
            <w:r w:rsidR="00641AA7" w:rsidRPr="00505B8A">
              <w:rPr>
                <w:rStyle w:val="Hyperlink"/>
                <w:rFonts w:hint="cs"/>
                <w:u w:val="none"/>
                <w:rtl/>
              </w:rPr>
              <w:t>ی</w:t>
            </w:r>
            <w:r w:rsidR="00641AA7" w:rsidRPr="00505B8A">
              <w:rPr>
                <w:rStyle w:val="Hyperlink"/>
                <w:rFonts w:hint="eastAsia"/>
                <w:u w:val="none"/>
                <w:rtl/>
              </w:rPr>
              <w:t>ن‌الملل</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_Toc397212655 \h </w:instrText>
            </w:r>
            <w:r w:rsidR="00E33025" w:rsidRPr="00505B8A">
              <w:rPr>
                <w:webHidden/>
              </w:rPr>
            </w:r>
            <w:r w:rsidR="00E33025" w:rsidRPr="00505B8A">
              <w:rPr>
                <w:webHidden/>
              </w:rPr>
              <w:fldChar w:fldCharType="separate"/>
            </w:r>
            <w:r w:rsidR="003D77FE">
              <w:rPr>
                <w:webHidden/>
                <w:rtl/>
                <w:lang w:bidi="ar-SA"/>
              </w:rPr>
              <w:t>72</w:t>
            </w:r>
            <w:r w:rsidR="00E33025" w:rsidRPr="00505B8A">
              <w:rPr>
                <w:webHidden/>
              </w:rPr>
              <w:fldChar w:fldCharType="end"/>
            </w:r>
          </w:hyperlink>
        </w:p>
        <w:p w:rsidR="00641AA7" w:rsidRPr="00505B8A" w:rsidRDefault="003B02A5" w:rsidP="00505B8A">
          <w:pPr>
            <w:pStyle w:val="TOC3"/>
            <w:rPr>
              <w:rFonts w:eastAsiaTheme="minorEastAsia"/>
            </w:rPr>
          </w:pPr>
          <w:hyperlink w:anchor="_Toc397212656" w:history="1">
            <w:r w:rsidR="00641AA7" w:rsidRPr="00505B8A">
              <w:rPr>
                <w:rStyle w:val="Hyperlink"/>
                <w:u w:val="none"/>
                <w:rtl/>
              </w:rPr>
              <w:t xml:space="preserve">2-5) </w:t>
            </w:r>
            <w:r w:rsidR="00641AA7" w:rsidRPr="00505B8A">
              <w:rPr>
                <w:rStyle w:val="Hyperlink"/>
                <w:rFonts w:hint="eastAsia"/>
                <w:u w:val="none"/>
                <w:rtl/>
              </w:rPr>
              <w:t>قوان</w:t>
            </w:r>
            <w:r w:rsidR="00641AA7" w:rsidRPr="00505B8A">
              <w:rPr>
                <w:rStyle w:val="Hyperlink"/>
                <w:rFonts w:hint="cs"/>
                <w:u w:val="none"/>
                <w:rtl/>
              </w:rPr>
              <w:t>ی</w:t>
            </w:r>
            <w:r w:rsidR="00641AA7" w:rsidRPr="00505B8A">
              <w:rPr>
                <w:rStyle w:val="Hyperlink"/>
                <w:rFonts w:hint="eastAsia"/>
                <w:u w:val="none"/>
                <w:rtl/>
              </w:rPr>
              <w:t>ن</w:t>
            </w:r>
            <w:r w:rsidR="00641AA7" w:rsidRPr="00505B8A">
              <w:rPr>
                <w:rStyle w:val="Hyperlink"/>
                <w:u w:val="none"/>
                <w:rtl/>
              </w:rPr>
              <w:t xml:space="preserve"> </w:t>
            </w:r>
            <w:r w:rsidR="00641AA7" w:rsidRPr="00505B8A">
              <w:rPr>
                <w:rStyle w:val="Hyperlink"/>
                <w:rFonts w:hint="eastAsia"/>
                <w:u w:val="none"/>
                <w:rtl/>
              </w:rPr>
              <w:t>مل</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_Toc397212656 \h </w:instrText>
            </w:r>
            <w:r w:rsidR="00E33025" w:rsidRPr="00505B8A">
              <w:rPr>
                <w:webHidden/>
              </w:rPr>
            </w:r>
            <w:r w:rsidR="00E33025" w:rsidRPr="00505B8A">
              <w:rPr>
                <w:webHidden/>
              </w:rPr>
              <w:fldChar w:fldCharType="separate"/>
            </w:r>
            <w:r w:rsidR="003D77FE">
              <w:rPr>
                <w:webHidden/>
                <w:rtl/>
                <w:lang w:bidi="ar-SA"/>
              </w:rPr>
              <w:t>74</w:t>
            </w:r>
            <w:r w:rsidR="00E33025" w:rsidRPr="00505B8A">
              <w:rPr>
                <w:webHidden/>
              </w:rPr>
              <w:fldChar w:fldCharType="end"/>
            </w:r>
          </w:hyperlink>
        </w:p>
        <w:p w:rsidR="00641AA7" w:rsidRPr="00505B8A" w:rsidRDefault="003B02A5" w:rsidP="00505B8A">
          <w:pPr>
            <w:pStyle w:val="TOC3"/>
            <w:rPr>
              <w:rFonts w:eastAsiaTheme="minorEastAsia"/>
            </w:rPr>
          </w:pPr>
          <w:hyperlink w:anchor="_Toc397212657" w:history="1">
            <w:r w:rsidR="00641AA7" w:rsidRPr="00505B8A">
              <w:rPr>
                <w:rStyle w:val="Hyperlink"/>
                <w:u w:val="none"/>
                <w:rtl/>
              </w:rPr>
              <w:t xml:space="preserve">2-6) </w:t>
            </w:r>
            <w:r w:rsidR="00641AA7" w:rsidRPr="00505B8A">
              <w:rPr>
                <w:rStyle w:val="Hyperlink"/>
                <w:rFonts w:hint="eastAsia"/>
                <w:u w:val="none"/>
                <w:rtl/>
              </w:rPr>
              <w:t>رو</w:t>
            </w:r>
            <w:r w:rsidR="00641AA7" w:rsidRPr="00505B8A">
              <w:rPr>
                <w:rStyle w:val="Hyperlink"/>
                <w:rFonts w:hint="cs"/>
                <w:u w:val="none"/>
                <w:rtl/>
              </w:rPr>
              <w:t>ی</w:t>
            </w:r>
            <w:r w:rsidR="00641AA7" w:rsidRPr="00505B8A">
              <w:rPr>
                <w:rStyle w:val="Hyperlink"/>
                <w:rFonts w:hint="eastAsia"/>
                <w:u w:val="none"/>
                <w:rtl/>
              </w:rPr>
              <w:t>کرد</w:t>
            </w:r>
            <w:r w:rsidR="00641AA7" w:rsidRPr="00505B8A">
              <w:rPr>
                <w:rStyle w:val="Hyperlink"/>
                <w:u w:val="none"/>
                <w:rtl/>
              </w:rPr>
              <w:t xml:space="preserve"> </w:t>
            </w:r>
            <w:r w:rsidR="00641AA7" w:rsidRPr="00505B8A">
              <w:rPr>
                <w:rStyle w:val="Hyperlink"/>
                <w:rFonts w:hint="eastAsia"/>
                <w:u w:val="none"/>
                <w:rtl/>
              </w:rPr>
              <w:t>دادگاه‌ها</w:t>
            </w:r>
            <w:r w:rsidR="00641AA7" w:rsidRPr="00505B8A">
              <w:rPr>
                <w:webHidden/>
              </w:rPr>
              <w:tab/>
            </w:r>
            <w:r w:rsidR="00E33025" w:rsidRPr="00505B8A">
              <w:rPr>
                <w:webHidden/>
              </w:rPr>
              <w:fldChar w:fldCharType="begin"/>
            </w:r>
            <w:r w:rsidR="00641AA7" w:rsidRPr="00505B8A">
              <w:rPr>
                <w:webHidden/>
              </w:rPr>
              <w:instrText xml:space="preserve"> PAGEREF _Toc397212657 \h </w:instrText>
            </w:r>
            <w:r w:rsidR="00E33025" w:rsidRPr="00505B8A">
              <w:rPr>
                <w:webHidden/>
              </w:rPr>
            </w:r>
            <w:r w:rsidR="00E33025" w:rsidRPr="00505B8A">
              <w:rPr>
                <w:webHidden/>
              </w:rPr>
              <w:fldChar w:fldCharType="separate"/>
            </w:r>
            <w:r w:rsidR="003D77FE">
              <w:rPr>
                <w:webHidden/>
                <w:rtl/>
                <w:lang w:bidi="ar-SA"/>
              </w:rPr>
              <w:t>77</w:t>
            </w:r>
            <w:r w:rsidR="00E33025" w:rsidRPr="00505B8A">
              <w:rPr>
                <w:webHidden/>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58"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سوم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مفاد</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قابل</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اعمال</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زم</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نه</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امتناع</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از</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اجرا</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رأ</w:t>
            </w:r>
            <w:r w:rsidR="00641AA7" w:rsidRPr="00505B8A">
              <w:rPr>
                <w:rStyle w:val="Hyperlink"/>
                <w:rFonts w:cs="B Nazanin" w:hint="cs"/>
                <w:i/>
                <w:iCs/>
                <w:noProof/>
                <w:sz w:val="24"/>
                <w:u w:val="none"/>
                <w:rtl/>
                <w:lang w:bidi="fa-IR"/>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_Toc397212658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80</w:t>
            </w:r>
            <w:r w:rsidR="00E33025" w:rsidRPr="00505B8A">
              <w:rPr>
                <w:rFonts w:cs="B Nazanin"/>
                <w:i/>
                <w:iCs/>
                <w:noProof/>
                <w:webHidden/>
                <w:sz w:val="24"/>
              </w:rPr>
              <w:fldChar w:fldCharType="end"/>
            </w:r>
          </w:hyperlink>
        </w:p>
        <w:p w:rsidR="00641AA7" w:rsidRPr="00505B8A" w:rsidRDefault="003B02A5" w:rsidP="00505B8A">
          <w:pPr>
            <w:pStyle w:val="TOC3"/>
            <w:rPr>
              <w:rFonts w:eastAsiaTheme="minorEastAsia"/>
            </w:rPr>
          </w:pPr>
          <w:hyperlink w:anchor="_Toc397212659" w:history="1">
            <w:r w:rsidR="00641AA7" w:rsidRPr="00505B8A">
              <w:rPr>
                <w:rStyle w:val="Hyperlink"/>
                <w:u w:val="none"/>
                <w:rtl/>
              </w:rPr>
              <w:t xml:space="preserve">3-1) </w:t>
            </w:r>
            <w:r w:rsidR="00641AA7" w:rsidRPr="00505B8A">
              <w:rPr>
                <w:rStyle w:val="Hyperlink"/>
                <w:rFonts w:hint="eastAsia"/>
                <w:u w:val="none"/>
                <w:rtl/>
              </w:rPr>
              <w:t>قطع</w:t>
            </w:r>
            <w:r w:rsidR="00641AA7" w:rsidRPr="00505B8A">
              <w:rPr>
                <w:rStyle w:val="Hyperlink"/>
                <w:rFonts w:hint="cs"/>
                <w:u w:val="none"/>
                <w:rtl/>
              </w:rPr>
              <w:t>ی</w:t>
            </w:r>
            <w:r w:rsidR="00641AA7" w:rsidRPr="00505B8A">
              <w:rPr>
                <w:rStyle w:val="Hyperlink"/>
                <w:rFonts w:hint="eastAsia"/>
                <w:u w:val="none"/>
                <w:rtl/>
              </w:rPr>
              <w:t>ت</w:t>
            </w:r>
            <w:r w:rsidR="00641AA7" w:rsidRPr="00505B8A">
              <w:rPr>
                <w:rStyle w:val="Hyperlink"/>
                <w:u w:val="none"/>
                <w:rtl/>
              </w:rPr>
              <w:t xml:space="preserve"> </w:t>
            </w:r>
            <w:r w:rsidR="00641AA7" w:rsidRPr="00505B8A">
              <w:rPr>
                <w:rStyle w:val="Hyperlink"/>
                <w:rFonts w:hint="eastAsia"/>
                <w:u w:val="none"/>
                <w:rtl/>
              </w:rPr>
              <w:t>آرا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داور</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تجار</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ب</w:t>
            </w:r>
            <w:r w:rsidR="00641AA7" w:rsidRPr="00505B8A">
              <w:rPr>
                <w:rStyle w:val="Hyperlink"/>
                <w:rFonts w:hint="cs"/>
                <w:u w:val="none"/>
                <w:rtl/>
              </w:rPr>
              <w:t>ی</w:t>
            </w:r>
            <w:r w:rsidR="00641AA7" w:rsidRPr="00505B8A">
              <w:rPr>
                <w:rStyle w:val="Hyperlink"/>
                <w:rFonts w:hint="eastAsia"/>
                <w:u w:val="none"/>
                <w:rtl/>
              </w:rPr>
              <w:t>ن‌الملل</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_Toc397212659 \h </w:instrText>
            </w:r>
            <w:r w:rsidR="00E33025" w:rsidRPr="00505B8A">
              <w:rPr>
                <w:webHidden/>
              </w:rPr>
            </w:r>
            <w:r w:rsidR="00E33025" w:rsidRPr="00505B8A">
              <w:rPr>
                <w:webHidden/>
              </w:rPr>
              <w:fldChar w:fldCharType="separate"/>
            </w:r>
            <w:r w:rsidR="003D77FE">
              <w:rPr>
                <w:webHidden/>
                <w:rtl/>
                <w:lang w:bidi="ar-SA"/>
              </w:rPr>
              <w:t>82</w:t>
            </w:r>
            <w:r w:rsidR="00E33025" w:rsidRPr="00505B8A">
              <w:rPr>
                <w:webHidden/>
              </w:rPr>
              <w:fldChar w:fldCharType="end"/>
            </w:r>
          </w:hyperlink>
        </w:p>
        <w:p w:rsidR="00641AA7" w:rsidRPr="00505B8A" w:rsidRDefault="003B02A5" w:rsidP="00505B8A">
          <w:pPr>
            <w:pStyle w:val="TOC3"/>
            <w:rPr>
              <w:rFonts w:eastAsiaTheme="minorEastAsia"/>
            </w:rPr>
          </w:pPr>
          <w:hyperlink w:anchor="_Toc397212660" w:history="1">
            <w:r w:rsidR="00641AA7" w:rsidRPr="00505B8A">
              <w:rPr>
                <w:rStyle w:val="Hyperlink"/>
                <w:u w:val="none"/>
                <w:rtl/>
              </w:rPr>
              <w:t xml:space="preserve">3-2) </w:t>
            </w:r>
            <w:r w:rsidR="00641AA7" w:rsidRPr="00505B8A">
              <w:rPr>
                <w:rStyle w:val="Hyperlink"/>
                <w:rFonts w:hint="eastAsia"/>
                <w:u w:val="none"/>
                <w:rtl/>
              </w:rPr>
              <w:t>تقس</w:t>
            </w:r>
            <w:r w:rsidR="00641AA7" w:rsidRPr="00505B8A">
              <w:rPr>
                <w:rStyle w:val="Hyperlink"/>
                <w:rFonts w:hint="cs"/>
                <w:u w:val="none"/>
                <w:rtl/>
              </w:rPr>
              <w:t>ی</w:t>
            </w:r>
            <w:r w:rsidR="00641AA7" w:rsidRPr="00505B8A">
              <w:rPr>
                <w:rStyle w:val="Hyperlink"/>
                <w:rFonts w:hint="eastAsia"/>
                <w:u w:val="none"/>
                <w:rtl/>
              </w:rPr>
              <w:t>م‌بند</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ماهو</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_Toc397212660 \h </w:instrText>
            </w:r>
            <w:r w:rsidR="00E33025" w:rsidRPr="00505B8A">
              <w:rPr>
                <w:webHidden/>
              </w:rPr>
            </w:r>
            <w:r w:rsidR="00E33025" w:rsidRPr="00505B8A">
              <w:rPr>
                <w:webHidden/>
              </w:rPr>
              <w:fldChar w:fldCharType="separate"/>
            </w:r>
            <w:r w:rsidR="003D77FE">
              <w:rPr>
                <w:webHidden/>
                <w:rtl/>
                <w:lang w:bidi="ar-SA"/>
              </w:rPr>
              <w:t>86</w:t>
            </w:r>
            <w:r w:rsidR="00E33025" w:rsidRPr="00505B8A">
              <w:rPr>
                <w:webHidden/>
              </w:rPr>
              <w:fldChar w:fldCharType="end"/>
            </w:r>
          </w:hyperlink>
        </w:p>
        <w:p w:rsidR="00641AA7" w:rsidRPr="00505B8A" w:rsidRDefault="003B02A5" w:rsidP="00505B8A">
          <w:pPr>
            <w:pStyle w:val="TOC3"/>
            <w:rPr>
              <w:rFonts w:eastAsiaTheme="minorEastAsia"/>
            </w:rPr>
          </w:pPr>
          <w:hyperlink w:anchor="_Toc397212661" w:history="1">
            <w:r w:rsidR="00641AA7" w:rsidRPr="00505B8A">
              <w:rPr>
                <w:rStyle w:val="Hyperlink"/>
                <w:u w:val="none"/>
                <w:rtl/>
              </w:rPr>
              <w:t xml:space="preserve">3-3) </w:t>
            </w:r>
            <w:r w:rsidR="00641AA7" w:rsidRPr="00505B8A">
              <w:rPr>
                <w:rStyle w:val="Hyperlink"/>
                <w:rFonts w:hint="eastAsia"/>
                <w:u w:val="none"/>
                <w:rtl/>
              </w:rPr>
              <w:t>تقس</w:t>
            </w:r>
            <w:r w:rsidR="00641AA7" w:rsidRPr="00505B8A">
              <w:rPr>
                <w:rStyle w:val="Hyperlink"/>
                <w:rFonts w:hint="cs"/>
                <w:u w:val="none"/>
                <w:rtl/>
              </w:rPr>
              <w:t>ی</w:t>
            </w:r>
            <w:r w:rsidR="00641AA7" w:rsidRPr="00505B8A">
              <w:rPr>
                <w:rStyle w:val="Hyperlink"/>
                <w:rFonts w:hint="eastAsia"/>
                <w:u w:val="none"/>
                <w:rtl/>
              </w:rPr>
              <w:t>م‌بند</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شکل</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نظم</w:t>
            </w:r>
            <w:r w:rsidR="00641AA7" w:rsidRPr="00505B8A">
              <w:rPr>
                <w:rStyle w:val="Hyperlink"/>
                <w:u w:val="none"/>
                <w:rtl/>
              </w:rPr>
              <w:t xml:space="preserve"> </w:t>
            </w:r>
            <w:r w:rsidR="00641AA7" w:rsidRPr="00505B8A">
              <w:rPr>
                <w:rStyle w:val="Hyperlink"/>
                <w:rFonts w:hint="eastAsia"/>
                <w:u w:val="none"/>
                <w:rtl/>
              </w:rPr>
              <w:t>عموم</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_Toc397212661 \h </w:instrText>
            </w:r>
            <w:r w:rsidR="00E33025" w:rsidRPr="00505B8A">
              <w:rPr>
                <w:webHidden/>
              </w:rPr>
            </w:r>
            <w:r w:rsidR="00E33025" w:rsidRPr="00505B8A">
              <w:rPr>
                <w:webHidden/>
              </w:rPr>
              <w:fldChar w:fldCharType="separate"/>
            </w:r>
            <w:r w:rsidR="003D77FE">
              <w:rPr>
                <w:webHidden/>
                <w:rtl/>
                <w:lang w:bidi="ar-SA"/>
              </w:rPr>
              <w:t>92</w:t>
            </w:r>
            <w:r w:rsidR="00E33025" w:rsidRPr="00505B8A">
              <w:rPr>
                <w:webHidden/>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62" w:history="1">
            <w:r w:rsidR="00641AA7" w:rsidRPr="00505B8A">
              <w:rPr>
                <w:rStyle w:val="Hyperlink"/>
                <w:rFonts w:cs="B Nazanin" w:hint="eastAsia"/>
                <w:i/>
                <w:iCs/>
                <w:noProof/>
                <w:sz w:val="24"/>
                <w:u w:val="none"/>
                <w:rtl/>
                <w:lang w:bidi="fa-IR"/>
              </w:rPr>
              <w:t>گفتار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چهارم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نظم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عموم</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اجرا</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احکام</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داور</w:t>
            </w:r>
            <w:r w:rsidR="00641AA7" w:rsidRPr="00505B8A">
              <w:rPr>
                <w:rStyle w:val="Hyperlink"/>
                <w:rFonts w:cs="B Nazanin" w:hint="cs"/>
                <w:i/>
                <w:iCs/>
                <w:noProof/>
                <w:sz w:val="24"/>
                <w:u w:val="none"/>
                <w:rtl/>
                <w:lang w:bidi="fa-IR"/>
              </w:rPr>
              <w:t>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در</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رو</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ه</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قضا</w:t>
            </w:r>
            <w:r w:rsidR="00641AA7" w:rsidRPr="00505B8A">
              <w:rPr>
                <w:rStyle w:val="Hyperlink"/>
                <w:rFonts w:cs="B Nazanin" w:hint="cs"/>
                <w:i/>
                <w:iCs/>
                <w:noProof/>
                <w:sz w:val="24"/>
                <w:u w:val="none"/>
                <w:rtl/>
                <w:lang w:bidi="fa-IR"/>
              </w:rPr>
              <w:t>یی</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آمر</w:t>
            </w:r>
            <w:r w:rsidR="00641AA7" w:rsidRPr="00505B8A">
              <w:rPr>
                <w:rStyle w:val="Hyperlink"/>
                <w:rFonts w:cs="B Nazanin" w:hint="cs"/>
                <w:i/>
                <w:iCs/>
                <w:noProof/>
                <w:sz w:val="24"/>
                <w:u w:val="none"/>
                <w:rtl/>
                <w:lang w:bidi="fa-IR"/>
              </w:rPr>
              <w:t>ی</w:t>
            </w:r>
            <w:r w:rsidR="00641AA7" w:rsidRPr="00505B8A">
              <w:rPr>
                <w:rStyle w:val="Hyperlink"/>
                <w:rFonts w:cs="B Nazanin" w:hint="eastAsia"/>
                <w:i/>
                <w:iCs/>
                <w:noProof/>
                <w:sz w:val="24"/>
                <w:u w:val="none"/>
                <w:rtl/>
                <w:lang w:bidi="fa-IR"/>
              </w:rPr>
              <w:t>کا</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و</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انگلستان</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_Toc397212662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100</w:t>
            </w:r>
            <w:r w:rsidR="00E33025" w:rsidRPr="00505B8A">
              <w:rPr>
                <w:rFonts w:cs="B Nazanin"/>
                <w:i/>
                <w:iCs/>
                <w:noProof/>
                <w:webHidden/>
                <w:sz w:val="24"/>
              </w:rPr>
              <w:fldChar w:fldCharType="end"/>
            </w:r>
          </w:hyperlink>
        </w:p>
        <w:p w:rsidR="00641AA7" w:rsidRPr="00505B8A" w:rsidRDefault="003B02A5" w:rsidP="00505B8A">
          <w:pPr>
            <w:pStyle w:val="TOC3"/>
            <w:rPr>
              <w:rFonts w:eastAsiaTheme="minorEastAsia"/>
            </w:rPr>
          </w:pPr>
          <w:hyperlink w:anchor="_Toc397212663" w:history="1">
            <w:r w:rsidR="00641AA7" w:rsidRPr="00505B8A">
              <w:rPr>
                <w:rStyle w:val="Hyperlink"/>
                <w:u w:val="none"/>
                <w:rtl/>
              </w:rPr>
              <w:t xml:space="preserve">4-1) </w:t>
            </w:r>
            <w:r w:rsidR="00641AA7" w:rsidRPr="00505B8A">
              <w:rPr>
                <w:rStyle w:val="Hyperlink"/>
                <w:rFonts w:hint="eastAsia"/>
                <w:u w:val="none"/>
                <w:rtl/>
              </w:rPr>
              <w:t>تما</w:t>
            </w:r>
            <w:r w:rsidR="00641AA7" w:rsidRPr="00505B8A">
              <w:rPr>
                <w:rStyle w:val="Hyperlink"/>
                <w:rFonts w:hint="cs"/>
                <w:u w:val="none"/>
                <w:rtl/>
              </w:rPr>
              <w:t>ی</w:t>
            </w:r>
            <w:r w:rsidR="00641AA7" w:rsidRPr="00505B8A">
              <w:rPr>
                <w:rStyle w:val="Hyperlink"/>
                <w:rFonts w:hint="eastAsia"/>
                <w:u w:val="none"/>
                <w:rtl/>
              </w:rPr>
              <w:t>ل</w:t>
            </w:r>
            <w:r w:rsidR="00641AA7" w:rsidRPr="00505B8A">
              <w:rPr>
                <w:rStyle w:val="Hyperlink"/>
                <w:u w:val="none"/>
                <w:rtl/>
              </w:rPr>
              <w:t xml:space="preserve"> </w:t>
            </w:r>
            <w:r w:rsidR="00641AA7" w:rsidRPr="00505B8A">
              <w:rPr>
                <w:rStyle w:val="Hyperlink"/>
                <w:rFonts w:hint="eastAsia"/>
                <w:u w:val="none"/>
                <w:rtl/>
              </w:rPr>
              <w:t>دادگاه‌ها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آمر</w:t>
            </w:r>
            <w:r w:rsidR="00641AA7" w:rsidRPr="00505B8A">
              <w:rPr>
                <w:rStyle w:val="Hyperlink"/>
                <w:rFonts w:hint="cs"/>
                <w:u w:val="none"/>
                <w:rtl/>
              </w:rPr>
              <w:t>ی</w:t>
            </w:r>
            <w:r w:rsidR="00641AA7" w:rsidRPr="00505B8A">
              <w:rPr>
                <w:rStyle w:val="Hyperlink"/>
                <w:rFonts w:hint="eastAsia"/>
                <w:u w:val="none"/>
                <w:rtl/>
              </w:rPr>
              <w:t>کا</w:t>
            </w:r>
            <w:r w:rsidR="00641AA7" w:rsidRPr="00505B8A">
              <w:rPr>
                <w:rStyle w:val="Hyperlink"/>
                <w:rFonts w:hint="cs"/>
                <w:u w:val="none"/>
                <w:rtl/>
              </w:rPr>
              <w:t>یی</w:t>
            </w:r>
            <w:r w:rsidR="00641AA7" w:rsidRPr="00505B8A">
              <w:rPr>
                <w:rStyle w:val="Hyperlink"/>
                <w:u w:val="none"/>
                <w:rtl/>
              </w:rPr>
              <w:t xml:space="preserve"> </w:t>
            </w:r>
            <w:r w:rsidR="00641AA7" w:rsidRPr="00505B8A">
              <w:rPr>
                <w:rStyle w:val="Hyperlink"/>
                <w:rFonts w:hint="eastAsia"/>
                <w:u w:val="none"/>
                <w:rtl/>
              </w:rPr>
              <w:t>و</w:t>
            </w:r>
            <w:r w:rsidR="00641AA7" w:rsidRPr="00505B8A">
              <w:rPr>
                <w:rStyle w:val="Hyperlink"/>
                <w:u w:val="none"/>
                <w:rtl/>
              </w:rPr>
              <w:t xml:space="preserve"> </w:t>
            </w:r>
            <w:r w:rsidR="00641AA7" w:rsidRPr="00505B8A">
              <w:rPr>
                <w:rStyle w:val="Hyperlink"/>
                <w:rFonts w:hint="eastAsia"/>
                <w:u w:val="none"/>
                <w:rtl/>
              </w:rPr>
              <w:t>انگل</w:t>
            </w:r>
            <w:r w:rsidR="00641AA7" w:rsidRPr="00505B8A">
              <w:rPr>
                <w:rStyle w:val="Hyperlink"/>
                <w:rFonts w:hint="cs"/>
                <w:u w:val="none"/>
                <w:rtl/>
              </w:rPr>
              <w:t>ی</w:t>
            </w:r>
            <w:r w:rsidR="00641AA7" w:rsidRPr="00505B8A">
              <w:rPr>
                <w:rStyle w:val="Hyperlink"/>
                <w:rFonts w:hint="eastAsia"/>
                <w:u w:val="none"/>
                <w:rtl/>
              </w:rPr>
              <w:t>س</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به</w:t>
            </w:r>
            <w:r w:rsidR="00641AA7" w:rsidRPr="00505B8A">
              <w:rPr>
                <w:rStyle w:val="Hyperlink"/>
                <w:u w:val="none"/>
                <w:rtl/>
              </w:rPr>
              <w:t xml:space="preserve"> </w:t>
            </w:r>
            <w:r w:rsidR="00641AA7" w:rsidRPr="00505B8A">
              <w:rPr>
                <w:rStyle w:val="Hyperlink"/>
                <w:rFonts w:hint="eastAsia"/>
                <w:u w:val="none"/>
                <w:rtl/>
              </w:rPr>
              <w:t>حما</w:t>
            </w:r>
            <w:r w:rsidR="00641AA7" w:rsidRPr="00505B8A">
              <w:rPr>
                <w:rStyle w:val="Hyperlink"/>
                <w:rFonts w:hint="cs"/>
                <w:u w:val="none"/>
                <w:rtl/>
              </w:rPr>
              <w:t>ی</w:t>
            </w:r>
            <w:r w:rsidR="00641AA7" w:rsidRPr="00505B8A">
              <w:rPr>
                <w:rStyle w:val="Hyperlink"/>
                <w:rFonts w:hint="eastAsia"/>
                <w:u w:val="none"/>
                <w:rtl/>
              </w:rPr>
              <w:t>ت</w:t>
            </w:r>
            <w:r w:rsidR="00641AA7" w:rsidRPr="00505B8A">
              <w:rPr>
                <w:rStyle w:val="Hyperlink"/>
                <w:u w:val="none"/>
                <w:rtl/>
              </w:rPr>
              <w:t xml:space="preserve"> </w:t>
            </w:r>
            <w:r w:rsidR="00641AA7" w:rsidRPr="00505B8A">
              <w:rPr>
                <w:rStyle w:val="Hyperlink"/>
                <w:rFonts w:hint="eastAsia"/>
                <w:u w:val="none"/>
                <w:rtl/>
              </w:rPr>
              <w:t>از</w:t>
            </w:r>
            <w:r w:rsidR="00641AA7" w:rsidRPr="00505B8A">
              <w:rPr>
                <w:rStyle w:val="Hyperlink"/>
                <w:u w:val="none"/>
                <w:rtl/>
              </w:rPr>
              <w:t xml:space="preserve"> </w:t>
            </w:r>
            <w:r w:rsidR="00641AA7" w:rsidRPr="00505B8A">
              <w:rPr>
                <w:rStyle w:val="Hyperlink"/>
                <w:rFonts w:hint="eastAsia"/>
                <w:u w:val="none"/>
                <w:rtl/>
              </w:rPr>
              <w:t>اجرا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رأ</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_Toc397212663 \h </w:instrText>
            </w:r>
            <w:r w:rsidR="00E33025" w:rsidRPr="00505B8A">
              <w:rPr>
                <w:webHidden/>
              </w:rPr>
            </w:r>
            <w:r w:rsidR="00E33025" w:rsidRPr="00505B8A">
              <w:rPr>
                <w:webHidden/>
              </w:rPr>
              <w:fldChar w:fldCharType="separate"/>
            </w:r>
            <w:r w:rsidR="003D77FE">
              <w:rPr>
                <w:webHidden/>
                <w:rtl/>
                <w:lang w:bidi="ar-SA"/>
              </w:rPr>
              <w:t>101</w:t>
            </w:r>
            <w:r w:rsidR="00E33025" w:rsidRPr="00505B8A">
              <w:rPr>
                <w:webHidden/>
              </w:rPr>
              <w:fldChar w:fldCharType="end"/>
            </w:r>
          </w:hyperlink>
        </w:p>
        <w:p w:rsidR="00641AA7" w:rsidRPr="00505B8A" w:rsidRDefault="003B02A5" w:rsidP="00505B8A">
          <w:pPr>
            <w:pStyle w:val="TOC3"/>
            <w:rPr>
              <w:rFonts w:eastAsiaTheme="minorEastAsia"/>
            </w:rPr>
          </w:pPr>
          <w:hyperlink w:anchor="_Toc397212664" w:history="1">
            <w:r w:rsidR="00641AA7" w:rsidRPr="00505B8A">
              <w:rPr>
                <w:rStyle w:val="Hyperlink"/>
                <w:u w:val="none"/>
                <w:rtl/>
              </w:rPr>
              <w:t xml:space="preserve">4-2) </w:t>
            </w:r>
            <w:r w:rsidR="00641AA7" w:rsidRPr="00505B8A">
              <w:rPr>
                <w:rStyle w:val="Hyperlink"/>
                <w:rFonts w:hint="eastAsia"/>
                <w:u w:val="none"/>
                <w:rtl/>
              </w:rPr>
              <w:t>موارد</w:t>
            </w:r>
            <w:r w:rsidR="00641AA7" w:rsidRPr="00505B8A">
              <w:rPr>
                <w:rStyle w:val="Hyperlink"/>
                <w:u w:val="none"/>
                <w:rtl/>
              </w:rPr>
              <w:t xml:space="preserve"> </w:t>
            </w:r>
            <w:r w:rsidR="00641AA7" w:rsidRPr="00505B8A">
              <w:rPr>
                <w:rStyle w:val="Hyperlink"/>
                <w:rFonts w:hint="eastAsia"/>
                <w:u w:val="none"/>
                <w:rtl/>
              </w:rPr>
              <w:t>نادر</w:t>
            </w:r>
            <w:r w:rsidR="00641AA7" w:rsidRPr="00505B8A">
              <w:rPr>
                <w:rStyle w:val="Hyperlink"/>
                <w:u w:val="none"/>
                <w:rtl/>
              </w:rPr>
              <w:t xml:space="preserve"> </w:t>
            </w:r>
            <w:r w:rsidR="00641AA7" w:rsidRPr="00505B8A">
              <w:rPr>
                <w:rStyle w:val="Hyperlink"/>
                <w:rFonts w:hint="eastAsia"/>
                <w:u w:val="none"/>
                <w:rtl/>
              </w:rPr>
              <w:t>امتناع</w:t>
            </w:r>
            <w:r w:rsidR="00641AA7" w:rsidRPr="00505B8A">
              <w:rPr>
                <w:rStyle w:val="Hyperlink"/>
                <w:u w:val="none"/>
                <w:rtl/>
              </w:rPr>
              <w:t xml:space="preserve"> </w:t>
            </w:r>
            <w:r w:rsidR="00641AA7" w:rsidRPr="00505B8A">
              <w:rPr>
                <w:rStyle w:val="Hyperlink"/>
                <w:rFonts w:hint="eastAsia"/>
                <w:u w:val="none"/>
                <w:rtl/>
              </w:rPr>
              <w:t>دادگاه‌ها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آمر</w:t>
            </w:r>
            <w:r w:rsidR="00641AA7" w:rsidRPr="00505B8A">
              <w:rPr>
                <w:rStyle w:val="Hyperlink"/>
                <w:rFonts w:hint="cs"/>
                <w:u w:val="none"/>
                <w:rtl/>
              </w:rPr>
              <w:t>ی</w:t>
            </w:r>
            <w:r w:rsidR="00641AA7" w:rsidRPr="00505B8A">
              <w:rPr>
                <w:rStyle w:val="Hyperlink"/>
                <w:rFonts w:hint="eastAsia"/>
                <w:u w:val="none"/>
                <w:rtl/>
              </w:rPr>
              <w:t>کا</w:t>
            </w:r>
            <w:r w:rsidR="00641AA7" w:rsidRPr="00505B8A">
              <w:rPr>
                <w:rStyle w:val="Hyperlink"/>
                <w:rFonts w:hint="cs"/>
                <w:u w:val="none"/>
                <w:rtl/>
              </w:rPr>
              <w:t>یی</w:t>
            </w:r>
            <w:r w:rsidR="00641AA7" w:rsidRPr="00505B8A">
              <w:rPr>
                <w:rStyle w:val="Hyperlink"/>
                <w:u w:val="none"/>
                <w:rtl/>
              </w:rPr>
              <w:t xml:space="preserve"> </w:t>
            </w:r>
            <w:r w:rsidR="00641AA7" w:rsidRPr="00505B8A">
              <w:rPr>
                <w:rStyle w:val="Hyperlink"/>
                <w:rFonts w:hint="eastAsia"/>
                <w:u w:val="none"/>
                <w:rtl/>
              </w:rPr>
              <w:t>و</w:t>
            </w:r>
            <w:r w:rsidR="00641AA7" w:rsidRPr="00505B8A">
              <w:rPr>
                <w:rStyle w:val="Hyperlink"/>
                <w:u w:val="none"/>
                <w:rtl/>
              </w:rPr>
              <w:t xml:space="preserve"> </w:t>
            </w:r>
            <w:r w:rsidR="00641AA7" w:rsidRPr="00505B8A">
              <w:rPr>
                <w:rStyle w:val="Hyperlink"/>
                <w:rFonts w:hint="eastAsia"/>
                <w:u w:val="none"/>
                <w:rtl/>
              </w:rPr>
              <w:t>انگل</w:t>
            </w:r>
            <w:r w:rsidR="00641AA7" w:rsidRPr="00505B8A">
              <w:rPr>
                <w:rStyle w:val="Hyperlink"/>
                <w:rFonts w:hint="cs"/>
                <w:u w:val="none"/>
                <w:rtl/>
              </w:rPr>
              <w:t>ی</w:t>
            </w:r>
            <w:r w:rsidR="00641AA7" w:rsidRPr="00505B8A">
              <w:rPr>
                <w:rStyle w:val="Hyperlink"/>
                <w:rFonts w:hint="eastAsia"/>
                <w:u w:val="none"/>
                <w:rtl/>
              </w:rPr>
              <w:t>س</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از</w:t>
            </w:r>
            <w:r w:rsidR="00641AA7" w:rsidRPr="00505B8A">
              <w:rPr>
                <w:rStyle w:val="Hyperlink"/>
                <w:u w:val="none"/>
                <w:rtl/>
              </w:rPr>
              <w:t xml:space="preserve"> </w:t>
            </w:r>
            <w:r w:rsidR="00641AA7" w:rsidRPr="00505B8A">
              <w:rPr>
                <w:rStyle w:val="Hyperlink"/>
                <w:rFonts w:hint="eastAsia"/>
                <w:u w:val="none"/>
                <w:rtl/>
              </w:rPr>
              <w:t>اجرا</w:t>
            </w:r>
            <w:r w:rsidR="00641AA7" w:rsidRPr="00505B8A">
              <w:rPr>
                <w:rStyle w:val="Hyperlink"/>
                <w:rFonts w:hint="cs"/>
                <w:u w:val="none"/>
                <w:rtl/>
              </w:rPr>
              <w:t>ی</w:t>
            </w:r>
            <w:r w:rsidR="00641AA7" w:rsidRPr="00505B8A">
              <w:rPr>
                <w:rStyle w:val="Hyperlink"/>
                <w:u w:val="none"/>
                <w:rtl/>
              </w:rPr>
              <w:t xml:space="preserve"> </w:t>
            </w:r>
            <w:r w:rsidR="00641AA7" w:rsidRPr="00505B8A">
              <w:rPr>
                <w:rStyle w:val="Hyperlink"/>
                <w:rFonts w:hint="eastAsia"/>
                <w:u w:val="none"/>
                <w:rtl/>
              </w:rPr>
              <w:t>رأ</w:t>
            </w:r>
            <w:r w:rsidR="00641AA7" w:rsidRPr="00505B8A">
              <w:rPr>
                <w:rStyle w:val="Hyperlink"/>
                <w:rFonts w:hint="cs"/>
                <w:u w:val="none"/>
                <w:rtl/>
              </w:rPr>
              <w:t>ی</w:t>
            </w:r>
            <w:r w:rsidR="00641AA7" w:rsidRPr="00505B8A">
              <w:rPr>
                <w:webHidden/>
              </w:rPr>
              <w:tab/>
            </w:r>
            <w:r w:rsidR="00E33025" w:rsidRPr="00505B8A">
              <w:rPr>
                <w:webHidden/>
              </w:rPr>
              <w:fldChar w:fldCharType="begin"/>
            </w:r>
            <w:r w:rsidR="00641AA7" w:rsidRPr="00505B8A">
              <w:rPr>
                <w:webHidden/>
              </w:rPr>
              <w:instrText xml:space="preserve"> PAGEREF _Toc397212664 \h </w:instrText>
            </w:r>
            <w:r w:rsidR="00E33025" w:rsidRPr="00505B8A">
              <w:rPr>
                <w:webHidden/>
              </w:rPr>
            </w:r>
            <w:r w:rsidR="00E33025" w:rsidRPr="00505B8A">
              <w:rPr>
                <w:webHidden/>
              </w:rPr>
              <w:fldChar w:fldCharType="separate"/>
            </w:r>
            <w:r w:rsidR="003D77FE">
              <w:rPr>
                <w:webHidden/>
                <w:rtl/>
                <w:lang w:bidi="ar-SA"/>
              </w:rPr>
              <w:t>103</w:t>
            </w:r>
            <w:r w:rsidR="00E33025" w:rsidRPr="00505B8A">
              <w:rPr>
                <w:webHidden/>
              </w:rPr>
              <w:fldChar w:fldCharType="end"/>
            </w:r>
          </w:hyperlink>
        </w:p>
        <w:p w:rsidR="00641AA7" w:rsidRPr="00505B8A" w:rsidRDefault="003B02A5" w:rsidP="00641AA7">
          <w:pPr>
            <w:pStyle w:val="TOC2"/>
            <w:tabs>
              <w:tab w:val="right" w:leader="dot" w:pos="7910"/>
            </w:tabs>
            <w:bidi/>
            <w:rPr>
              <w:rFonts w:eastAsiaTheme="minorEastAsia" w:cs="B Nazanin"/>
              <w:i/>
              <w:iCs/>
              <w:smallCaps w:val="0"/>
              <w:noProof/>
              <w:sz w:val="24"/>
            </w:rPr>
          </w:pPr>
          <w:hyperlink w:anchor="_Toc397212665" w:history="1">
            <w:r w:rsidR="00641AA7" w:rsidRPr="00505B8A">
              <w:rPr>
                <w:rStyle w:val="Hyperlink"/>
                <w:rFonts w:cs="B Nazanin" w:hint="eastAsia"/>
                <w:i/>
                <w:iCs/>
                <w:noProof/>
                <w:sz w:val="24"/>
                <w:u w:val="none"/>
                <w:rtl/>
              </w:rPr>
              <w:t>نت</w:t>
            </w:r>
            <w:r w:rsidR="00641AA7" w:rsidRPr="00505B8A">
              <w:rPr>
                <w:rStyle w:val="Hyperlink"/>
                <w:rFonts w:cs="B Nazanin" w:hint="cs"/>
                <w:i/>
                <w:iCs/>
                <w:noProof/>
                <w:sz w:val="24"/>
                <w:u w:val="none"/>
                <w:rtl/>
              </w:rPr>
              <w:t>ی</w:t>
            </w:r>
            <w:r w:rsidR="00641AA7" w:rsidRPr="00505B8A">
              <w:rPr>
                <w:rStyle w:val="Hyperlink"/>
                <w:rFonts w:cs="B Nazanin" w:hint="eastAsia"/>
                <w:i/>
                <w:iCs/>
                <w:noProof/>
                <w:sz w:val="24"/>
                <w:u w:val="none"/>
                <w:rtl/>
              </w:rPr>
              <w:t>جه‌گ</w:t>
            </w:r>
            <w:r w:rsidR="00641AA7" w:rsidRPr="00505B8A">
              <w:rPr>
                <w:rStyle w:val="Hyperlink"/>
                <w:rFonts w:cs="B Nazanin" w:hint="cs"/>
                <w:i/>
                <w:iCs/>
                <w:noProof/>
                <w:sz w:val="24"/>
                <w:u w:val="none"/>
                <w:rtl/>
              </w:rPr>
              <w:t>ی</w:t>
            </w:r>
            <w:r w:rsidR="00641AA7" w:rsidRPr="00505B8A">
              <w:rPr>
                <w:rStyle w:val="Hyperlink"/>
                <w:rFonts w:cs="B Nazanin" w:hint="eastAsia"/>
                <w:i/>
                <w:iCs/>
                <w:noProof/>
                <w:sz w:val="24"/>
                <w:u w:val="none"/>
                <w:rtl/>
              </w:rPr>
              <w:t>ر</w:t>
            </w:r>
            <w:r w:rsidR="00641AA7" w:rsidRPr="00505B8A">
              <w:rPr>
                <w:rStyle w:val="Hyperlink"/>
                <w:rFonts w:cs="B Nazanin" w:hint="cs"/>
                <w:i/>
                <w:iCs/>
                <w:noProof/>
                <w:sz w:val="24"/>
                <w:u w:val="none"/>
                <w:rtl/>
              </w:rPr>
              <w:t>ی</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_Toc397212665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106</w:t>
            </w:r>
            <w:r w:rsidR="00E33025" w:rsidRPr="00505B8A">
              <w:rPr>
                <w:rFonts w:cs="B Nazanin"/>
                <w:i/>
                <w:iCs/>
                <w:noProof/>
                <w:webHidden/>
                <w:sz w:val="24"/>
              </w:rPr>
              <w:fldChar w:fldCharType="end"/>
            </w:r>
          </w:hyperlink>
        </w:p>
        <w:p w:rsidR="00641AA7" w:rsidRPr="00505B8A" w:rsidRDefault="003B02A5" w:rsidP="00A9410A">
          <w:pPr>
            <w:pStyle w:val="TOC2"/>
            <w:tabs>
              <w:tab w:val="right" w:leader="dot" w:pos="7910"/>
            </w:tabs>
            <w:bidi/>
            <w:rPr>
              <w:rFonts w:eastAsiaTheme="minorEastAsia" w:cs="B Nazanin"/>
              <w:b/>
              <w:bCs/>
              <w:i/>
              <w:iCs/>
              <w:caps/>
              <w:noProof/>
              <w:sz w:val="24"/>
            </w:rPr>
          </w:pPr>
          <w:hyperlink w:anchor="_Toc397212666" w:history="1">
            <w:r w:rsidR="00641AA7" w:rsidRPr="00505B8A">
              <w:rPr>
                <w:rStyle w:val="Hyperlink"/>
                <w:rFonts w:cs="B Nazanin" w:hint="eastAsia"/>
                <w:i/>
                <w:iCs/>
                <w:noProof/>
                <w:sz w:val="24"/>
                <w:u w:val="none"/>
                <w:rtl/>
                <w:lang w:bidi="fa-IR"/>
              </w:rPr>
              <w:t>فهرست</w:t>
            </w:r>
            <w:r w:rsidR="00641AA7" w:rsidRPr="00505B8A">
              <w:rPr>
                <w:rStyle w:val="Hyperlink"/>
                <w:rFonts w:cs="B Nazanin"/>
                <w:i/>
                <w:iCs/>
                <w:noProof/>
                <w:sz w:val="24"/>
                <w:u w:val="none"/>
                <w:rtl/>
                <w:lang w:bidi="fa-IR"/>
              </w:rPr>
              <w:t xml:space="preserve"> </w:t>
            </w:r>
            <w:r w:rsidR="00641AA7" w:rsidRPr="00505B8A">
              <w:rPr>
                <w:rStyle w:val="Hyperlink"/>
                <w:rFonts w:cs="B Nazanin" w:hint="eastAsia"/>
                <w:i/>
                <w:iCs/>
                <w:noProof/>
                <w:sz w:val="24"/>
                <w:u w:val="none"/>
                <w:rtl/>
                <w:lang w:bidi="fa-IR"/>
              </w:rPr>
              <w:t>منابع</w:t>
            </w:r>
            <w:r w:rsidR="00641AA7" w:rsidRPr="00505B8A">
              <w:rPr>
                <w:rFonts w:cs="B Nazanin"/>
                <w:i/>
                <w:iCs/>
                <w:noProof/>
                <w:webHidden/>
                <w:sz w:val="24"/>
              </w:rPr>
              <w:tab/>
            </w:r>
            <w:r w:rsidR="00E33025" w:rsidRPr="00505B8A">
              <w:rPr>
                <w:rFonts w:cs="B Nazanin"/>
                <w:i/>
                <w:iCs/>
                <w:noProof/>
                <w:webHidden/>
                <w:sz w:val="24"/>
              </w:rPr>
              <w:fldChar w:fldCharType="begin"/>
            </w:r>
            <w:r w:rsidR="00641AA7" w:rsidRPr="00505B8A">
              <w:rPr>
                <w:rFonts w:cs="B Nazanin"/>
                <w:i/>
                <w:iCs/>
                <w:noProof/>
                <w:webHidden/>
                <w:sz w:val="24"/>
              </w:rPr>
              <w:instrText xml:space="preserve"> PAGEREF _Toc397212666 \h </w:instrText>
            </w:r>
            <w:r w:rsidR="00E33025" w:rsidRPr="00505B8A">
              <w:rPr>
                <w:rFonts w:cs="B Nazanin"/>
                <w:i/>
                <w:iCs/>
                <w:noProof/>
                <w:webHidden/>
                <w:sz w:val="24"/>
              </w:rPr>
            </w:r>
            <w:r w:rsidR="00E33025" w:rsidRPr="00505B8A">
              <w:rPr>
                <w:rFonts w:cs="B Nazanin"/>
                <w:i/>
                <w:iCs/>
                <w:noProof/>
                <w:webHidden/>
                <w:sz w:val="24"/>
              </w:rPr>
              <w:fldChar w:fldCharType="separate"/>
            </w:r>
            <w:r w:rsidR="003D77FE">
              <w:rPr>
                <w:rFonts w:cs="B Nazanin"/>
                <w:i/>
                <w:iCs/>
                <w:noProof/>
                <w:webHidden/>
                <w:sz w:val="24"/>
                <w:rtl/>
              </w:rPr>
              <w:t>109</w:t>
            </w:r>
            <w:r w:rsidR="00E33025" w:rsidRPr="00505B8A">
              <w:rPr>
                <w:rFonts w:cs="B Nazanin"/>
                <w:i/>
                <w:iCs/>
                <w:noProof/>
                <w:webHidden/>
                <w:sz w:val="24"/>
              </w:rPr>
              <w:fldChar w:fldCharType="end"/>
            </w:r>
          </w:hyperlink>
        </w:p>
        <w:p w:rsidR="00253990" w:rsidRDefault="00E33025" w:rsidP="00EA1BEE">
          <w:pPr>
            <w:bidi/>
            <w:jc w:val="left"/>
            <w:rPr>
              <w:rFonts w:asciiTheme="minorHAnsi" w:hAnsiTheme="minorHAnsi" w:cs="B Nazanin"/>
              <w:smallCaps/>
              <w:sz w:val="20"/>
              <w:szCs w:val="24"/>
            </w:rPr>
          </w:pPr>
          <w:r w:rsidRPr="00641AA7">
            <w:rPr>
              <w:rFonts w:asciiTheme="minorHAnsi" w:hAnsiTheme="minorHAnsi" w:cs="B Nazanin"/>
              <w:smallCaps/>
              <w:sz w:val="20"/>
              <w:szCs w:val="24"/>
            </w:rPr>
            <w:fldChar w:fldCharType="end"/>
          </w:r>
        </w:p>
        <w:p w:rsidR="00253990" w:rsidRDefault="00253990">
          <w:pPr>
            <w:jc w:val="left"/>
            <w:rPr>
              <w:rFonts w:asciiTheme="minorHAnsi" w:hAnsiTheme="minorHAnsi" w:cs="B Nazanin"/>
              <w:smallCaps/>
              <w:sz w:val="20"/>
              <w:szCs w:val="24"/>
            </w:rPr>
          </w:pPr>
          <w:r>
            <w:rPr>
              <w:rFonts w:asciiTheme="minorHAnsi" w:hAnsiTheme="minorHAnsi" w:cs="B Nazanin"/>
              <w:smallCaps/>
              <w:sz w:val="20"/>
              <w:szCs w:val="24"/>
            </w:rPr>
            <w:br w:type="page"/>
          </w:r>
        </w:p>
        <w:p w:rsidR="004C7534" w:rsidRDefault="003B02A5" w:rsidP="00EA1BEE">
          <w:pPr>
            <w:bidi/>
            <w:jc w:val="left"/>
            <w:rPr>
              <w:rtl/>
            </w:rPr>
          </w:pPr>
        </w:p>
      </w:sdtContent>
    </w:sdt>
    <w:bookmarkStart w:id="0" w:name="_Toc397212628" w:displacedByCustomXml="prev"/>
    <w:p w:rsidR="007A2ACC" w:rsidRDefault="003736DA" w:rsidP="004C7534">
      <w:pPr>
        <w:pStyle w:val="Heading2"/>
        <w:bidi/>
        <w:ind w:firstLine="360"/>
        <w:rPr>
          <w:rtl/>
          <w:lang w:bidi="fa-IR"/>
        </w:rPr>
      </w:pPr>
      <w:r>
        <w:rPr>
          <w:rFonts w:hint="cs"/>
          <w:rtl/>
          <w:lang w:bidi="fa-IR"/>
        </w:rPr>
        <w:t>چکیده</w:t>
      </w:r>
      <w:bookmarkEnd w:id="0"/>
    </w:p>
    <w:p w:rsidR="001379EB" w:rsidRPr="001379EB" w:rsidRDefault="001379EB" w:rsidP="001379EB">
      <w:pPr>
        <w:bidi/>
        <w:rPr>
          <w:rtl/>
          <w:lang w:bidi="fa-IR"/>
        </w:rPr>
      </w:pPr>
    </w:p>
    <w:p w:rsidR="003736DA" w:rsidRDefault="004E36C6" w:rsidP="00164531">
      <w:pPr>
        <w:bidi/>
        <w:spacing w:line="276" w:lineRule="auto"/>
        <w:jc w:val="both"/>
        <w:rPr>
          <w:rtl/>
          <w:lang w:bidi="fa-IR"/>
        </w:rPr>
      </w:pPr>
      <w:r>
        <w:rPr>
          <w:rFonts w:hint="cs"/>
          <w:rtl/>
          <w:lang w:bidi="fa-IR"/>
        </w:rPr>
        <w:t xml:space="preserve">داوری </w:t>
      </w:r>
      <w:r w:rsidR="00EA1BEE">
        <w:rPr>
          <w:rFonts w:hint="cs"/>
          <w:rtl/>
          <w:lang w:bidi="fa-IR"/>
        </w:rPr>
        <w:t xml:space="preserve">متداول‌ترین شیوه‌ی حل‌وفصل اختلافات در حوزه تجارت بین‌الملل است که </w:t>
      </w:r>
      <w:r w:rsidR="005A416C">
        <w:rPr>
          <w:rFonts w:hint="cs"/>
          <w:rtl/>
          <w:lang w:bidi="fa-IR"/>
        </w:rPr>
        <w:t xml:space="preserve">شامل دو مرحله رسیدگی به اختلاف و شناسایی و اجرای رأی می‌باشد. رأی صادره از </w:t>
      </w:r>
      <w:r w:rsidR="00C049A5">
        <w:rPr>
          <w:rFonts w:hint="cs"/>
          <w:rtl/>
          <w:lang w:bidi="fa-IR"/>
        </w:rPr>
        <w:t xml:space="preserve">سوی </w:t>
      </w:r>
      <w:r w:rsidR="005A416C">
        <w:rPr>
          <w:rFonts w:hint="cs"/>
          <w:rtl/>
          <w:lang w:bidi="fa-IR"/>
        </w:rPr>
        <w:t xml:space="preserve">مرجع داوری تجاری بین‌المللی </w:t>
      </w:r>
      <w:r w:rsidR="00EA1BEE">
        <w:rPr>
          <w:rFonts w:hint="cs"/>
          <w:rtl/>
          <w:lang w:bidi="fa-IR"/>
        </w:rPr>
        <w:t>پس از صدور،</w:t>
      </w:r>
      <w:r w:rsidR="00F23C1F">
        <w:rPr>
          <w:rFonts w:hint="cs"/>
          <w:rtl/>
          <w:lang w:bidi="fa-IR"/>
        </w:rPr>
        <w:t xml:space="preserve"> نیازمند این است که توسط مر</w:t>
      </w:r>
      <w:r w:rsidR="004C7534">
        <w:rPr>
          <w:rFonts w:hint="cs"/>
          <w:rtl/>
          <w:lang w:bidi="fa-IR"/>
        </w:rPr>
        <w:t>جع اجرا کننده به رسمیت شناخته شود</w:t>
      </w:r>
      <w:r w:rsidR="00356E07">
        <w:rPr>
          <w:rFonts w:hint="cs"/>
          <w:rtl/>
          <w:lang w:bidi="fa-IR"/>
        </w:rPr>
        <w:t xml:space="preserve"> و</w:t>
      </w:r>
      <w:r w:rsidR="00164531">
        <w:rPr>
          <w:rFonts w:hint="cs"/>
          <w:rtl/>
          <w:lang w:bidi="fa-IR"/>
        </w:rPr>
        <w:t xml:space="preserve"> به اجرا درآ</w:t>
      </w:r>
      <w:r w:rsidR="00F23C1F">
        <w:rPr>
          <w:rFonts w:hint="cs"/>
          <w:rtl/>
          <w:lang w:bidi="fa-IR"/>
        </w:rPr>
        <w:t>ید.</w:t>
      </w:r>
      <w:r w:rsidR="00F75B36">
        <w:rPr>
          <w:rFonts w:hint="cs"/>
          <w:rtl/>
          <w:lang w:bidi="fa-IR"/>
        </w:rPr>
        <w:t xml:space="preserve"> در این میان موانعی بر سر راه اجرای رأی وجود دار</w:t>
      </w:r>
      <w:r w:rsidR="00C049A5">
        <w:rPr>
          <w:rFonts w:hint="cs"/>
          <w:rtl/>
          <w:lang w:bidi="fa-IR"/>
        </w:rPr>
        <w:t>ند که معیار نظم عمومی کلی‌</w:t>
      </w:r>
      <w:r w:rsidR="00156BCE">
        <w:rPr>
          <w:rFonts w:hint="cs"/>
          <w:rtl/>
          <w:lang w:bidi="fa-IR"/>
        </w:rPr>
        <w:t>ترین و برجسته‌ترین آن‌ها است</w:t>
      </w:r>
      <w:r w:rsidR="00F75B36">
        <w:rPr>
          <w:rFonts w:hint="cs"/>
          <w:rtl/>
          <w:lang w:bidi="fa-IR"/>
        </w:rPr>
        <w:t>.</w:t>
      </w:r>
      <w:r w:rsidR="00F33088">
        <w:rPr>
          <w:rFonts w:hint="cs"/>
          <w:rtl/>
          <w:lang w:bidi="fa-IR"/>
        </w:rPr>
        <w:t xml:space="preserve"> یکی از اقسام</w:t>
      </w:r>
      <w:r w:rsidR="00F75B36">
        <w:rPr>
          <w:rFonts w:hint="cs"/>
          <w:rtl/>
          <w:lang w:bidi="fa-IR"/>
        </w:rPr>
        <w:t xml:space="preserve"> </w:t>
      </w:r>
      <w:r w:rsidR="00F33088">
        <w:rPr>
          <w:rFonts w:hint="cs"/>
          <w:rtl/>
          <w:lang w:bidi="fa-IR"/>
        </w:rPr>
        <w:t>نظم عمومی،</w:t>
      </w:r>
      <w:r w:rsidR="00356E07">
        <w:rPr>
          <w:rFonts w:hint="cs"/>
          <w:rtl/>
          <w:lang w:bidi="fa-IR"/>
        </w:rPr>
        <w:t xml:space="preserve"> ن</w:t>
      </w:r>
      <w:r w:rsidR="00F33088">
        <w:rPr>
          <w:rFonts w:hint="cs"/>
          <w:rtl/>
          <w:lang w:bidi="fa-IR"/>
        </w:rPr>
        <w:t xml:space="preserve">ظم عمومی بین‌المللی </w:t>
      </w:r>
      <w:r w:rsidR="00164531">
        <w:rPr>
          <w:rFonts w:hint="cs"/>
          <w:rtl/>
          <w:lang w:bidi="fa-IR"/>
        </w:rPr>
        <w:t>است که</w:t>
      </w:r>
      <w:r w:rsidR="00F33088">
        <w:rPr>
          <w:rFonts w:hint="cs"/>
          <w:rtl/>
          <w:lang w:bidi="fa-IR"/>
        </w:rPr>
        <w:t xml:space="preserve"> نمایانگر مجموعه سازمان‌ها و قواعد حقوقی است که با</w:t>
      </w:r>
      <w:r w:rsidR="00581BA0">
        <w:rPr>
          <w:rFonts w:hint="cs"/>
          <w:rtl/>
          <w:lang w:bidi="fa-IR"/>
        </w:rPr>
        <w:t xml:space="preserve"> مبانی و اصول تمدنی یک کشور ارتب</w:t>
      </w:r>
      <w:r w:rsidR="00F33088">
        <w:rPr>
          <w:rFonts w:hint="cs"/>
          <w:rtl/>
          <w:lang w:bidi="fa-IR"/>
        </w:rPr>
        <w:t xml:space="preserve">اطی </w:t>
      </w:r>
      <w:r w:rsidR="005020A5">
        <w:rPr>
          <w:rFonts w:hint="cs"/>
          <w:rtl/>
          <w:lang w:bidi="fa-IR"/>
        </w:rPr>
        <w:t>ناگسستنی دارند و ناگزیر بر قوانین خارجی مقدم می‌شوند. این نظم یک نظم مشترک بین کلیه کشورها نیست، بلکه نقطه تعادل بین منافع و نظم عمومی یک کشور با نظم عمومی و منافع دیگر ملت‌ها و نیازهای تجارت بین‌الملل است.</w:t>
      </w:r>
      <w:r w:rsidR="006626A9">
        <w:rPr>
          <w:rFonts w:hint="cs"/>
          <w:rtl/>
          <w:lang w:bidi="fa-IR"/>
        </w:rPr>
        <w:t xml:space="preserve"> </w:t>
      </w:r>
      <w:r w:rsidR="00164531">
        <w:rPr>
          <w:rFonts w:hint="cs"/>
          <w:rtl/>
          <w:lang w:bidi="fa-IR"/>
        </w:rPr>
        <w:t>در زمینه اعمال نظم عمومی در مرحله اجرای احک</w:t>
      </w:r>
      <w:r w:rsidR="008B15BA">
        <w:rPr>
          <w:rFonts w:hint="cs"/>
          <w:rtl/>
          <w:lang w:bidi="fa-IR"/>
        </w:rPr>
        <w:t>ام داوری تجاری بین‌المللی، میان جلوگیری از نقض ارزش‌ها و قوانین داخلی و تمایل به احترام نسبت به قطعیت احکام داوری بین‌المللی تعارضی رخ می‌دهد که مناسب‌ترین راهکار رفع این تعارض</w:t>
      </w:r>
      <w:r w:rsidR="00892EE5">
        <w:rPr>
          <w:rFonts w:hint="cs"/>
          <w:rtl/>
          <w:lang w:bidi="fa-IR"/>
        </w:rPr>
        <w:t>،</w:t>
      </w:r>
      <w:r w:rsidR="008B15BA">
        <w:rPr>
          <w:rFonts w:hint="cs"/>
          <w:rtl/>
          <w:lang w:bidi="fa-IR"/>
        </w:rPr>
        <w:t xml:space="preserve"> اعمال مفهوم مضیق نظم عمومی در این زمینه می‌باشد. </w:t>
      </w:r>
    </w:p>
    <w:p w:rsidR="001379EB" w:rsidRPr="001379EB" w:rsidRDefault="001379EB" w:rsidP="00656ED1">
      <w:pPr>
        <w:bidi/>
        <w:spacing w:line="276" w:lineRule="auto"/>
        <w:jc w:val="both"/>
        <w:rPr>
          <w:rtl/>
          <w:lang w:bidi="fa-IR"/>
        </w:rPr>
      </w:pPr>
      <w:r w:rsidRPr="001379EB">
        <w:rPr>
          <w:rFonts w:hint="cs"/>
          <w:b/>
          <w:bCs/>
          <w:sz w:val="32"/>
          <w:szCs w:val="32"/>
          <w:rtl/>
          <w:lang w:bidi="fa-IR"/>
        </w:rPr>
        <w:t>واژگان کلیدی:</w:t>
      </w:r>
      <w:r w:rsidR="00656ED1">
        <w:rPr>
          <w:rFonts w:hint="cs"/>
          <w:rtl/>
          <w:lang w:bidi="fa-IR"/>
        </w:rPr>
        <w:t xml:space="preserve"> داوری تجاری بین‌المللی،</w:t>
      </w:r>
      <w:r w:rsidR="00A9410A">
        <w:rPr>
          <w:rFonts w:hint="cs"/>
          <w:rtl/>
          <w:lang w:bidi="fa-IR"/>
        </w:rPr>
        <w:t xml:space="preserve"> شناسایی و اجرای رأی،</w:t>
      </w:r>
      <w:r w:rsidR="00656ED1">
        <w:rPr>
          <w:rFonts w:hint="cs"/>
          <w:rtl/>
          <w:lang w:bidi="fa-IR"/>
        </w:rPr>
        <w:t xml:space="preserve"> نظم عمومی، نظم عمومی بیین‌المللی،</w:t>
      </w:r>
      <w:r w:rsidR="00156BCE">
        <w:rPr>
          <w:rFonts w:hint="cs"/>
          <w:rtl/>
          <w:lang w:bidi="fa-IR"/>
        </w:rPr>
        <w:t xml:space="preserve"> اجرای احکام داوری بین‌المللی.</w:t>
      </w:r>
    </w:p>
    <w:p w:rsidR="00063B16" w:rsidRDefault="00063B16" w:rsidP="004C7534">
      <w:pPr>
        <w:bidi/>
        <w:spacing w:after="200" w:line="276" w:lineRule="auto"/>
        <w:jc w:val="left"/>
        <w:rPr>
          <w:rFonts w:cs="B Zar"/>
          <w:b/>
          <w:bCs/>
          <w:sz w:val="40"/>
          <w:szCs w:val="40"/>
          <w:rtl/>
          <w:lang w:bidi="fa-IR"/>
        </w:rPr>
      </w:pPr>
    </w:p>
    <w:p w:rsidR="000B16FF" w:rsidRPr="00F37AFE" w:rsidRDefault="000B16FF" w:rsidP="000B16FF">
      <w:pPr>
        <w:jc w:val="lowKashida"/>
        <w:rPr>
          <w:rFonts w:cs="B Mitra"/>
          <w:b/>
          <w:bCs/>
        </w:rPr>
      </w:pPr>
    </w:p>
    <w:p w:rsidR="000B16FF" w:rsidRDefault="000B16FF" w:rsidP="000B16FF">
      <w:pPr>
        <w:jc w:val="lowKashida"/>
        <w:rPr>
          <w:rFonts w:cs="B Mitra"/>
        </w:rPr>
      </w:pPr>
    </w:p>
    <w:p w:rsidR="000B16FF" w:rsidRPr="00F37AFE" w:rsidRDefault="000B16FF" w:rsidP="000B16FF">
      <w:pPr>
        <w:bidi/>
        <w:rPr>
          <w:rFonts w:cs="B Mitra"/>
        </w:rPr>
      </w:pPr>
    </w:p>
    <w:p w:rsidR="00DF040A" w:rsidRDefault="00DF040A" w:rsidP="000B16FF">
      <w:pPr>
        <w:spacing w:after="200" w:line="276" w:lineRule="auto"/>
        <w:jc w:val="left"/>
        <w:rPr>
          <w:rFonts w:cs="B Zar"/>
          <w:b/>
          <w:bCs/>
          <w:sz w:val="40"/>
          <w:szCs w:val="40"/>
          <w:rtl/>
          <w:lang w:bidi="fa-IR"/>
        </w:rPr>
      </w:pPr>
    </w:p>
    <w:p w:rsidR="000B16FF" w:rsidRDefault="000B16FF" w:rsidP="000B16FF">
      <w:pPr>
        <w:pStyle w:val="Heading2"/>
        <w:bidi/>
        <w:rPr>
          <w:rFonts w:ascii="Calibri" w:eastAsia="Calibri" w:hAnsi="Calibri"/>
          <w:sz w:val="56"/>
          <w:szCs w:val="56"/>
          <w:rtl/>
          <w:lang w:bidi="fa-IR"/>
        </w:rPr>
      </w:pPr>
      <w:bookmarkStart w:id="1" w:name="_Toc397212629"/>
      <w:bookmarkStart w:id="2" w:name="_GoBack"/>
      <w:bookmarkEnd w:id="2"/>
    </w:p>
    <w:p w:rsidR="00D86473" w:rsidRPr="00D86473" w:rsidRDefault="00D86473" w:rsidP="000B16FF">
      <w:pPr>
        <w:pStyle w:val="Heading2"/>
        <w:bidi/>
        <w:rPr>
          <w:rFonts w:eastAsia="Calibri"/>
          <w:rtl/>
          <w:lang w:bidi="fa-IR"/>
        </w:rPr>
      </w:pPr>
      <w:r w:rsidRPr="00D86473">
        <w:rPr>
          <w:rFonts w:eastAsia="Calibri" w:hint="cs"/>
          <w:rtl/>
          <w:lang w:bidi="fa-IR"/>
        </w:rPr>
        <w:t>مقدمه</w:t>
      </w:r>
      <w:bookmarkEnd w:id="1"/>
    </w:p>
    <w:p w:rsidR="00063B16" w:rsidRPr="00063B16" w:rsidRDefault="00063B16" w:rsidP="004C2DA3">
      <w:pPr>
        <w:bidi/>
        <w:spacing w:after="200" w:line="276" w:lineRule="auto"/>
        <w:ind w:firstLine="360"/>
        <w:jc w:val="mediumKashida"/>
        <w:rPr>
          <w:rFonts w:ascii="Calibri" w:eastAsia="Calibri" w:hAnsi="Calibri"/>
          <w:rtl/>
          <w:lang w:bidi="fa-IR"/>
        </w:rPr>
      </w:pPr>
    </w:p>
    <w:p w:rsidR="00063B16" w:rsidRPr="00063B16" w:rsidRDefault="00063B16" w:rsidP="004C2DA3">
      <w:pPr>
        <w:bidi/>
        <w:spacing w:after="200" w:line="276" w:lineRule="auto"/>
        <w:ind w:firstLine="360"/>
        <w:jc w:val="mediumKashida"/>
        <w:rPr>
          <w:rFonts w:ascii="Calibri" w:eastAsia="Calibri" w:hAnsi="Calibri"/>
          <w:rtl/>
          <w:lang w:bidi="fa-IR"/>
        </w:rPr>
      </w:pPr>
      <w:r w:rsidRPr="00063B16">
        <w:rPr>
          <w:rFonts w:ascii="Calibri" w:eastAsia="Calibri" w:hAnsi="Calibri" w:hint="cs"/>
          <w:rtl/>
          <w:lang w:bidi="fa-IR"/>
        </w:rPr>
        <w:t>با گسترش روابط تجاری و اقتصادی بین‌المللی به تبع اختلافات ناشی از این روابط نیز افزایش یافته است. امروزه شیوه معمول برای حل و فصل اختلافات تجاری بین‌المللی داوری می‌باشد. داوری بخش جدایی‌ناپذیر حقوق تجارت بین‌الملل را تشکیل می‌دهد و نقش آن در توسعه و بسط بسیاری از نهادهای مربوط به حقوق تجارت بین‌الملل شایان ذکر است. سهولت روند داوری نسبت به رسیدگی قضایی، باعث شده است که اقبال به آن در حوزه تجاری بین‌المللی بسیار چشم‌گیر باشد.</w:t>
      </w:r>
    </w:p>
    <w:p w:rsidR="00063B16" w:rsidRPr="00063B16" w:rsidRDefault="00063B16" w:rsidP="0096276D">
      <w:pPr>
        <w:bidi/>
        <w:spacing w:after="200" w:line="276" w:lineRule="auto"/>
        <w:ind w:firstLine="360"/>
        <w:jc w:val="mediumKashida"/>
        <w:rPr>
          <w:rFonts w:ascii="Calibri" w:eastAsia="Calibri" w:hAnsi="Calibri"/>
          <w:rtl/>
          <w:lang w:bidi="fa-IR"/>
        </w:rPr>
      </w:pPr>
      <w:r w:rsidRPr="00063B16">
        <w:rPr>
          <w:rFonts w:ascii="Calibri" w:eastAsia="Calibri" w:hAnsi="Calibri" w:hint="cs"/>
          <w:rtl/>
          <w:lang w:bidi="fa-IR"/>
        </w:rPr>
        <w:t>اساساً رجوع به داوری بر مبنای تراضی و توافق طرفین اختلاف صورت می‌گیرد. هر داوری اعم از موردی و سازمانی دارای دو مرحله متفاوت شامل رسیدگی به اختلاف و اجرای رأی می‌باشد. در زمینه اجرای آرای داوری تجاری بین‌المللی قوانین مندرج در کنوا</w:t>
      </w:r>
      <w:r w:rsidR="005429F5">
        <w:rPr>
          <w:rFonts w:ascii="Calibri" w:eastAsia="Calibri" w:hAnsi="Calibri" w:hint="cs"/>
          <w:rtl/>
          <w:lang w:bidi="fa-IR"/>
        </w:rPr>
        <w:t>نسیون 1958 نیویورک که حدوداً 150</w:t>
      </w:r>
      <w:r w:rsidRPr="00063B16">
        <w:rPr>
          <w:rFonts w:ascii="Calibri" w:eastAsia="Calibri" w:hAnsi="Calibri" w:hint="cs"/>
          <w:rtl/>
          <w:lang w:bidi="fa-IR"/>
        </w:rPr>
        <w:t xml:space="preserve"> کشور بدان پیوسته‌اند و قانون نمونه آنسیترال 1985 از اهمیت بسزایی برخوردار هستند. به موجب قوانین مذکور رأی داوری در مرحله اجرا</w:t>
      </w:r>
      <w:r w:rsidR="007465FA">
        <w:rPr>
          <w:rFonts w:ascii="Calibri" w:eastAsia="Calibri" w:hAnsi="Calibri" w:hint="cs"/>
          <w:rtl/>
          <w:lang w:bidi="fa-IR"/>
        </w:rPr>
        <w:t>ی احکام</w:t>
      </w:r>
      <w:r w:rsidRPr="00063B16">
        <w:rPr>
          <w:rFonts w:ascii="Calibri" w:eastAsia="Calibri" w:hAnsi="Calibri" w:hint="cs"/>
          <w:rtl/>
          <w:lang w:bidi="fa-IR"/>
        </w:rPr>
        <w:t xml:space="preserve"> با موانعی روبروست</w:t>
      </w:r>
      <w:r w:rsidR="007465FA">
        <w:rPr>
          <w:rFonts w:ascii="Calibri" w:eastAsia="Calibri" w:hAnsi="Calibri" w:hint="cs"/>
          <w:rtl/>
          <w:lang w:bidi="fa-IR"/>
        </w:rPr>
        <w:t>،</w:t>
      </w:r>
      <w:r w:rsidRPr="00063B16">
        <w:rPr>
          <w:rFonts w:ascii="Calibri" w:eastAsia="Calibri" w:hAnsi="Calibri" w:hint="cs"/>
          <w:rtl/>
          <w:lang w:bidi="fa-IR"/>
        </w:rPr>
        <w:t xml:space="preserve"> این موانع به دو دسته کلی تقسیم می‌شوند. دسته اول شامل مواردی است که امتناع از شناسایی و اجرای رأی داوری منوط به درخواست ذی‌نفع است و دادگاه نمی‌تواند رأساً اقدام </w:t>
      </w:r>
      <w:r w:rsidRPr="00063B16">
        <w:rPr>
          <w:rFonts w:ascii="Calibri" w:eastAsia="Calibri" w:hAnsi="Calibri" w:hint="cs"/>
          <w:rtl/>
          <w:lang w:bidi="fa-IR"/>
        </w:rPr>
        <w:lastRenderedPageBreak/>
        <w:t xml:space="preserve">کند. اما دسته دوم شامل مواردی است که امتناع از شناسایی و اجرای رأی منوط به درخواست ذی‌نفع نیست و دادگاه می‌تواند خود رأساً از شناسایی و اجرای رأی داوری خودداری کند. از جمله مهم‌ترین موانع دسته دوم استناد به مخالفت رأی با نظم عمومی است. </w:t>
      </w:r>
    </w:p>
    <w:p w:rsidR="00063B16" w:rsidRPr="00063B16" w:rsidRDefault="00063B16" w:rsidP="004C2DA3">
      <w:pPr>
        <w:bidi/>
        <w:spacing w:after="200" w:line="276" w:lineRule="auto"/>
        <w:ind w:firstLine="360"/>
        <w:jc w:val="mediumKashida"/>
        <w:rPr>
          <w:rFonts w:ascii="Calibri" w:eastAsia="Calibri" w:hAnsi="Calibri"/>
          <w:rtl/>
          <w:lang w:bidi="fa-IR"/>
        </w:rPr>
      </w:pPr>
      <w:r w:rsidRPr="00063B16">
        <w:rPr>
          <w:rFonts w:ascii="Calibri" w:eastAsia="Calibri" w:hAnsi="Calibri" w:hint="cs"/>
          <w:rtl/>
          <w:lang w:bidi="fa-IR"/>
        </w:rPr>
        <w:t>مفهوم نظم عمومی بار معنایی بسیار متنوعی را در رشته‌های گوناگون و علم حقوق واجد است. نظم عمومی به عنوان جلوه‌گاه منافع جامعه</w:t>
      </w:r>
      <w:r w:rsidR="00E34A1A">
        <w:rPr>
          <w:rFonts w:ascii="Calibri" w:eastAsia="Calibri" w:hAnsi="Calibri" w:hint="cs"/>
          <w:rtl/>
          <w:lang w:bidi="fa-IR"/>
        </w:rPr>
        <w:t>،</w:t>
      </w:r>
      <w:r w:rsidRPr="00063B16">
        <w:rPr>
          <w:rFonts w:ascii="Calibri" w:eastAsia="Calibri" w:hAnsi="Calibri" w:hint="cs"/>
          <w:rtl/>
          <w:lang w:bidi="fa-IR"/>
        </w:rPr>
        <w:t xml:space="preserve"> منافع فردی و خصوصی افراد را کنار می‌نهد. ارائه مفهوم دقیق و تعریف جامع و مانعی از نظم عمومی که جملگی حقوقدانان در مورد آن اتفاق نظر داشته باشند</w:t>
      </w:r>
      <w:r w:rsidR="00E34A1A">
        <w:rPr>
          <w:rFonts w:ascii="Calibri" w:eastAsia="Calibri" w:hAnsi="Calibri" w:hint="cs"/>
          <w:rtl/>
          <w:lang w:bidi="fa-IR"/>
        </w:rPr>
        <w:t>،</w:t>
      </w:r>
      <w:r w:rsidRPr="00063B16">
        <w:rPr>
          <w:rFonts w:ascii="Calibri" w:eastAsia="Calibri" w:hAnsi="Calibri" w:hint="cs"/>
          <w:rtl/>
          <w:lang w:bidi="fa-IR"/>
        </w:rPr>
        <w:t xml:space="preserve"> به سادگی میسر نیست، گویی اساساً ابهام و ایهام در مفهوم نظم عمومی، جزء ماهیت و ذات آن است. با این همه، مفهوم اجمالی آن نزد حقوقدانان، کاملاً شناخته شده و فی‌الجمله قابل تعریف است. لذا متخصصین هر یک از شاخه‌های حقوق، متناسب با رشته تخصصی خود، پس از ارائه پاره‌ای تقسیمات برای نظم عمومی، سعی در ارائه تعریف مناسب برای آن نموده‌اند. امری که متخصصین داوری تجاری بین‌المللی نیز از آن غفلت نورزیده ضمن مباحث مرتبط، از جمله بحث تعارض قوانین و موانع اجرای آرای داوری، کم و بیش به آن پرداخته‌اند. با توجه به قلمرو وسیع نظم عمومی در داوری تجاری بین‌المللی و نقش برجسته آن در مراحل مختلف جریان داوری و اجرای رأی داوری، باید گفت نظم عمومی در این رشته از حقوق، از جایگاه بی‌بدیلی برخوردار است.</w:t>
      </w:r>
    </w:p>
    <w:p w:rsidR="00063B16" w:rsidRDefault="00063B16" w:rsidP="00E34A1A">
      <w:pPr>
        <w:bidi/>
        <w:spacing w:after="200" w:line="276" w:lineRule="auto"/>
        <w:ind w:firstLine="360"/>
        <w:jc w:val="mediumKashida"/>
        <w:rPr>
          <w:rFonts w:ascii="Calibri" w:eastAsia="Calibri" w:hAnsi="Calibri"/>
          <w:lang w:bidi="fa-IR"/>
        </w:rPr>
      </w:pPr>
      <w:r w:rsidRPr="00063B16">
        <w:rPr>
          <w:rFonts w:ascii="Calibri" w:eastAsia="Calibri" w:hAnsi="Calibri" w:hint="cs"/>
          <w:rtl/>
          <w:lang w:bidi="fa-IR"/>
        </w:rPr>
        <w:t xml:space="preserve">آرای داوری‌های تجاری بین‌المللی می‌توانند، نه تنها طرفین داوری بلکه جامعه و نظم عمومی کشورها را نیز تحت تأثیر قرار دهند و </w:t>
      </w:r>
      <w:r w:rsidR="00DF040A">
        <w:rPr>
          <w:rFonts w:ascii="Calibri" w:eastAsia="Calibri" w:hAnsi="Calibri" w:hint="cs"/>
          <w:rtl/>
          <w:lang w:bidi="fa-IR"/>
        </w:rPr>
        <w:t>حتی با آن‌ها در تعارض باشند. گرچه و</w:t>
      </w:r>
      <w:r w:rsidRPr="00063B16">
        <w:rPr>
          <w:rFonts w:ascii="Calibri" w:eastAsia="Calibri" w:hAnsi="Calibri" w:hint="cs"/>
          <w:rtl/>
          <w:lang w:bidi="fa-IR"/>
        </w:rPr>
        <w:t>جود مزایا و منافع کشورها در زمینه تجارت بین‌الملل</w:t>
      </w:r>
      <w:r w:rsidR="00DF040A">
        <w:rPr>
          <w:rFonts w:ascii="Calibri" w:eastAsia="Calibri" w:hAnsi="Calibri" w:hint="cs"/>
          <w:rtl/>
          <w:lang w:bidi="fa-IR"/>
        </w:rPr>
        <w:t>،</w:t>
      </w:r>
      <w:r w:rsidR="00E34A1A">
        <w:rPr>
          <w:rFonts w:ascii="Calibri" w:eastAsia="Calibri" w:hAnsi="Calibri" w:hint="cs"/>
          <w:rtl/>
          <w:lang w:bidi="fa-IR"/>
        </w:rPr>
        <w:t xml:space="preserve"> مستلزم تسهیل روند اجرای احکام</w:t>
      </w:r>
      <w:r w:rsidRPr="00063B16">
        <w:rPr>
          <w:rFonts w:ascii="Calibri" w:eastAsia="Calibri" w:hAnsi="Calibri" w:hint="cs"/>
          <w:rtl/>
          <w:lang w:bidi="fa-IR"/>
        </w:rPr>
        <w:t xml:space="preserve"> داوری ت</w:t>
      </w:r>
      <w:r w:rsidR="00DF040A">
        <w:rPr>
          <w:rFonts w:ascii="Calibri" w:eastAsia="Calibri" w:hAnsi="Calibri" w:hint="cs"/>
          <w:rtl/>
          <w:lang w:bidi="fa-IR"/>
        </w:rPr>
        <w:t>جاری بین‌المللی</w:t>
      </w:r>
      <w:r w:rsidR="00E34A1A">
        <w:rPr>
          <w:rFonts w:ascii="Calibri" w:eastAsia="Calibri" w:hAnsi="Calibri" w:hint="cs"/>
          <w:rtl/>
          <w:lang w:bidi="fa-IR"/>
        </w:rPr>
        <w:t>،</w:t>
      </w:r>
      <w:r w:rsidR="00DF040A">
        <w:rPr>
          <w:rFonts w:ascii="Calibri" w:eastAsia="Calibri" w:hAnsi="Calibri" w:hint="cs"/>
          <w:rtl/>
          <w:lang w:bidi="fa-IR"/>
        </w:rPr>
        <w:t xml:space="preserve"> از سوی آن‌ها می‌باشد،</w:t>
      </w:r>
      <w:r w:rsidRPr="00063B16">
        <w:rPr>
          <w:rFonts w:ascii="Calibri" w:eastAsia="Calibri" w:hAnsi="Calibri" w:hint="cs"/>
          <w:rtl/>
          <w:lang w:bidi="fa-IR"/>
        </w:rPr>
        <w:t xml:space="preserve"> اما باز هم باعث </w:t>
      </w:r>
      <w:r w:rsidRPr="00063B16">
        <w:rPr>
          <w:rFonts w:ascii="Calibri" w:eastAsia="Calibri" w:hAnsi="Calibri" w:hint="cs"/>
          <w:rtl/>
          <w:lang w:bidi="fa-IR"/>
        </w:rPr>
        <w:lastRenderedPageBreak/>
        <w:t>نمی‌شود که دولت‌ها از اعمال نظارت قضایی بر آرای داوری بین‌المللی در جهت صیانت از مصالح اساسی جامعه چشم‌پوشی کنند.</w:t>
      </w:r>
      <w:r w:rsidR="0096276D">
        <w:rPr>
          <w:rFonts w:ascii="Calibri" w:eastAsia="Calibri" w:hAnsi="Calibri" w:hint="cs"/>
          <w:rtl/>
          <w:lang w:bidi="fa-IR"/>
        </w:rPr>
        <w:t xml:space="preserve"> </w:t>
      </w:r>
      <w:r w:rsidR="0096276D" w:rsidRPr="0096276D">
        <w:rPr>
          <w:rFonts w:ascii="Calibri" w:eastAsia="Calibri" w:hAnsi="Calibri" w:hint="cs"/>
          <w:rtl/>
          <w:lang w:bidi="fa-IR"/>
        </w:rPr>
        <w:t>نظم عمومی در خصوص دو کشور مقر داوری و محل شناسایی و اجرای رأی مطرح می‌شود. کشور محل شناسایی و اجرای رأی می‌تواند به استناد مخالفت با نظم عمومی از شناسایی و اجرای رأی داوری استنکاف ورزد.</w:t>
      </w:r>
    </w:p>
    <w:p w:rsidR="00253990" w:rsidRDefault="00253990" w:rsidP="00253990">
      <w:pPr>
        <w:bidi/>
        <w:spacing w:after="200" w:line="276" w:lineRule="auto"/>
        <w:ind w:firstLine="360"/>
        <w:jc w:val="mediumKashida"/>
        <w:rPr>
          <w:rFonts w:ascii="Calibri" w:eastAsia="Calibri" w:hAnsi="Calibri"/>
          <w:lang w:bidi="fa-IR"/>
        </w:rPr>
      </w:pPr>
    </w:p>
    <w:p w:rsidR="00253990" w:rsidRPr="00063B16" w:rsidRDefault="00253990" w:rsidP="00253990">
      <w:pPr>
        <w:bidi/>
        <w:spacing w:after="200" w:line="276" w:lineRule="auto"/>
        <w:ind w:firstLine="360"/>
        <w:jc w:val="mediumKashida"/>
        <w:rPr>
          <w:rFonts w:ascii="Calibri" w:eastAsia="Calibri" w:hAnsi="Calibri"/>
          <w:rtl/>
          <w:lang w:bidi="fa-IR"/>
        </w:rPr>
      </w:pPr>
    </w:p>
    <w:p w:rsidR="002A2C8A" w:rsidRDefault="002A2C8A" w:rsidP="002A2C8A">
      <w:pPr>
        <w:bidi/>
        <w:spacing w:after="200" w:line="276" w:lineRule="auto"/>
        <w:jc w:val="mediumKashida"/>
        <w:rPr>
          <w:rFonts w:ascii="Calibri" w:eastAsia="Calibri" w:hAnsi="Calibri"/>
          <w:b/>
          <w:bCs/>
          <w:rtl/>
          <w:lang w:bidi="fa-IR"/>
        </w:rPr>
      </w:pPr>
      <w:r w:rsidRPr="002A2C8A">
        <w:rPr>
          <w:rFonts w:ascii="Calibri" w:eastAsia="Calibri" w:hAnsi="Calibri" w:hint="cs"/>
          <w:b/>
          <w:bCs/>
          <w:rtl/>
          <w:lang w:bidi="fa-IR"/>
        </w:rPr>
        <w:t>سوال اصلی</w:t>
      </w:r>
      <w:r w:rsidR="003F38E7">
        <w:rPr>
          <w:rFonts w:ascii="Calibri" w:eastAsia="Calibri" w:hAnsi="Calibri" w:hint="cs"/>
          <w:b/>
          <w:bCs/>
          <w:rtl/>
          <w:lang w:bidi="fa-IR"/>
        </w:rPr>
        <w:t>:</w:t>
      </w:r>
    </w:p>
    <w:p w:rsidR="002A2C8A" w:rsidRDefault="002A2C8A" w:rsidP="00541F7B">
      <w:pPr>
        <w:bidi/>
        <w:spacing w:after="200" w:line="276" w:lineRule="auto"/>
        <w:jc w:val="mediumKashida"/>
        <w:rPr>
          <w:rFonts w:ascii="Calibri" w:eastAsia="Calibri" w:hAnsi="Calibri"/>
          <w:rtl/>
          <w:lang w:bidi="fa-IR"/>
        </w:rPr>
      </w:pPr>
      <w:r w:rsidRPr="002A2C8A">
        <w:rPr>
          <w:rFonts w:ascii="Calibri" w:eastAsia="Calibri" w:hAnsi="Calibri" w:hint="cs"/>
          <w:rtl/>
          <w:lang w:bidi="fa-IR"/>
        </w:rPr>
        <w:t>تا چه حد کشور‌ها از اجرای احکام داوری تجاری بین‌المللی، به بهانه‌ی نظم عمومی ممانعت می‌نمایند؟</w:t>
      </w:r>
    </w:p>
    <w:p w:rsidR="003F38E7" w:rsidRDefault="003F38E7" w:rsidP="003F38E7">
      <w:pPr>
        <w:bidi/>
        <w:spacing w:after="200" w:line="276" w:lineRule="auto"/>
        <w:jc w:val="mediumKashida"/>
        <w:rPr>
          <w:rFonts w:ascii="Calibri" w:eastAsia="Calibri" w:hAnsi="Calibri"/>
          <w:b/>
          <w:bCs/>
          <w:rtl/>
          <w:lang w:bidi="fa-IR"/>
        </w:rPr>
      </w:pPr>
      <w:r>
        <w:rPr>
          <w:rFonts w:ascii="Calibri" w:eastAsia="Calibri" w:hAnsi="Calibri" w:hint="cs"/>
          <w:b/>
          <w:bCs/>
          <w:rtl/>
          <w:lang w:bidi="fa-IR"/>
        </w:rPr>
        <w:t>سوال فرعی 1:</w:t>
      </w:r>
    </w:p>
    <w:p w:rsidR="00541F7B" w:rsidRDefault="003F38E7" w:rsidP="007465FA">
      <w:pPr>
        <w:bidi/>
        <w:spacing w:after="200" w:line="276" w:lineRule="auto"/>
        <w:jc w:val="mediumKashida"/>
        <w:rPr>
          <w:rFonts w:ascii="Calibri" w:eastAsia="Calibri" w:hAnsi="Calibri"/>
          <w:rtl/>
          <w:lang w:bidi="fa-IR"/>
        </w:rPr>
      </w:pPr>
      <w:r w:rsidRPr="003F38E7">
        <w:rPr>
          <w:rFonts w:ascii="Calibri" w:eastAsia="Calibri" w:hAnsi="Calibri" w:hint="cs"/>
          <w:rtl/>
          <w:lang w:bidi="fa-IR"/>
        </w:rPr>
        <w:t>قانون نمونه آنسیترال و کنوانسیون 1958 نیویورک چه رویکردی به موضوع نظم عمومی دارند؟</w:t>
      </w:r>
    </w:p>
    <w:p w:rsidR="003F38E7" w:rsidRDefault="003F38E7" w:rsidP="003F38E7">
      <w:pPr>
        <w:bidi/>
        <w:spacing w:after="200" w:line="276" w:lineRule="auto"/>
        <w:jc w:val="mediumKashida"/>
        <w:rPr>
          <w:rFonts w:ascii="Calibri" w:eastAsia="Calibri" w:hAnsi="Calibri"/>
          <w:b/>
          <w:bCs/>
          <w:rtl/>
          <w:lang w:bidi="fa-IR"/>
        </w:rPr>
      </w:pPr>
      <w:r>
        <w:rPr>
          <w:rFonts w:ascii="Calibri" w:eastAsia="Calibri" w:hAnsi="Calibri" w:hint="cs"/>
          <w:b/>
          <w:bCs/>
          <w:rtl/>
          <w:lang w:bidi="fa-IR"/>
        </w:rPr>
        <w:t>سوال فرعی 2:</w:t>
      </w:r>
    </w:p>
    <w:p w:rsidR="003F38E7" w:rsidRPr="003F38E7" w:rsidRDefault="003F38E7" w:rsidP="003F38E7">
      <w:pPr>
        <w:bidi/>
        <w:spacing w:after="200" w:line="276" w:lineRule="auto"/>
        <w:jc w:val="mediumKashida"/>
        <w:rPr>
          <w:rFonts w:ascii="Calibri" w:eastAsia="Calibri" w:hAnsi="Calibri"/>
          <w:lang w:bidi="fa-IR"/>
        </w:rPr>
      </w:pPr>
      <w:r w:rsidRPr="003F38E7">
        <w:rPr>
          <w:rFonts w:ascii="Calibri" w:eastAsia="Calibri" w:hAnsi="Calibri" w:hint="cs"/>
          <w:rtl/>
          <w:lang w:bidi="fa-IR"/>
        </w:rPr>
        <w:t xml:space="preserve">نقش و جایگاه حقوق داخلی کشورها در خصوص اعمال نظم عمومی در شناسایی و اجرای آرای </w:t>
      </w:r>
      <w:r w:rsidRPr="003F38E7">
        <w:rPr>
          <w:rFonts w:ascii="Calibri" w:eastAsia="Calibri" w:hAnsi="Calibri" w:hint="cs"/>
          <w:rtl/>
        </w:rPr>
        <w:t>داوری‌های</w:t>
      </w:r>
      <w:r w:rsidRPr="003F38E7">
        <w:rPr>
          <w:rFonts w:ascii="Calibri" w:eastAsia="Calibri" w:hAnsi="Calibri" w:hint="cs"/>
          <w:rtl/>
          <w:lang w:bidi="fa-IR"/>
        </w:rPr>
        <w:t xml:space="preserve"> بین</w:t>
      </w:r>
      <w:r>
        <w:rPr>
          <w:rFonts w:ascii="Calibri" w:eastAsia="Calibri" w:hAnsi="Calibri" w:hint="cs"/>
          <w:rtl/>
          <w:lang w:bidi="fa-IR"/>
        </w:rPr>
        <w:t>‌</w:t>
      </w:r>
      <w:r w:rsidRPr="003F38E7">
        <w:rPr>
          <w:rFonts w:ascii="Calibri" w:eastAsia="Calibri" w:hAnsi="Calibri" w:hint="cs"/>
          <w:rtl/>
        </w:rPr>
        <w:t>المللی</w:t>
      </w:r>
      <w:r w:rsidRPr="003F38E7">
        <w:rPr>
          <w:rFonts w:ascii="Calibri" w:eastAsia="Calibri" w:hAnsi="Calibri" w:hint="cs"/>
          <w:rtl/>
          <w:lang w:bidi="fa-IR"/>
        </w:rPr>
        <w:t xml:space="preserve"> چیست؟</w:t>
      </w:r>
    </w:p>
    <w:p w:rsidR="003F38E7" w:rsidRDefault="003F38E7" w:rsidP="003F38E7">
      <w:pPr>
        <w:bidi/>
        <w:spacing w:after="200" w:line="276" w:lineRule="auto"/>
        <w:jc w:val="mediumKashida"/>
        <w:rPr>
          <w:rFonts w:ascii="Calibri" w:eastAsia="Calibri" w:hAnsi="Calibri"/>
          <w:b/>
          <w:bCs/>
          <w:rtl/>
          <w:lang w:bidi="fa-IR"/>
        </w:rPr>
      </w:pPr>
      <w:r>
        <w:rPr>
          <w:rFonts w:ascii="Calibri" w:eastAsia="Calibri" w:hAnsi="Calibri" w:hint="cs"/>
          <w:b/>
          <w:bCs/>
          <w:rtl/>
          <w:lang w:bidi="fa-IR"/>
        </w:rPr>
        <w:t>فرضیه اصلی:</w:t>
      </w:r>
    </w:p>
    <w:p w:rsidR="00541F7B" w:rsidRPr="00541F7B" w:rsidRDefault="00541F7B" w:rsidP="00541F7B">
      <w:pPr>
        <w:bidi/>
        <w:spacing w:after="200" w:line="276" w:lineRule="auto"/>
        <w:jc w:val="mediumKashida"/>
        <w:rPr>
          <w:rFonts w:ascii="Calibri" w:eastAsia="Calibri" w:hAnsi="Calibri"/>
          <w:lang w:bidi="fa-IR"/>
        </w:rPr>
      </w:pPr>
      <w:r w:rsidRPr="00541F7B">
        <w:rPr>
          <w:rFonts w:ascii="Calibri" w:eastAsia="Calibri" w:hAnsi="Calibri" w:hint="cs"/>
          <w:rtl/>
          <w:lang w:bidi="fa-IR"/>
        </w:rPr>
        <w:lastRenderedPageBreak/>
        <w:t xml:space="preserve">تمامی ملاحظات مربوط به نظم عمومی کشورها در اجرای احکام داوری‌های تجاری بین‌المللی قابل اعمال نبوده و صرفاً نظم عمومی بین‌المللی کشور مربوطه و با تفسیر مضیق اعمال می‌گردد. </w:t>
      </w:r>
    </w:p>
    <w:p w:rsidR="003F38E7" w:rsidRDefault="00541F7B" w:rsidP="003F38E7">
      <w:pPr>
        <w:bidi/>
        <w:spacing w:after="200" w:line="276" w:lineRule="auto"/>
        <w:jc w:val="mediumKashida"/>
        <w:rPr>
          <w:rFonts w:ascii="Calibri" w:eastAsia="Calibri" w:hAnsi="Calibri"/>
          <w:b/>
          <w:bCs/>
          <w:rtl/>
          <w:lang w:bidi="fa-IR"/>
        </w:rPr>
      </w:pPr>
      <w:r>
        <w:rPr>
          <w:rFonts w:ascii="Calibri" w:eastAsia="Calibri" w:hAnsi="Calibri" w:hint="cs"/>
          <w:b/>
          <w:bCs/>
          <w:rtl/>
          <w:lang w:bidi="fa-IR"/>
        </w:rPr>
        <w:t>فرضیه فرعی 1:</w:t>
      </w:r>
    </w:p>
    <w:p w:rsidR="00541F7B" w:rsidRPr="00541F7B" w:rsidRDefault="00541F7B" w:rsidP="00541F7B">
      <w:pPr>
        <w:bidi/>
        <w:spacing w:after="200" w:line="276" w:lineRule="auto"/>
        <w:jc w:val="mediumKashida"/>
        <w:rPr>
          <w:rFonts w:ascii="Calibri" w:eastAsia="Calibri" w:hAnsi="Calibri"/>
          <w:lang w:bidi="fa-IR"/>
        </w:rPr>
      </w:pPr>
      <w:r w:rsidRPr="00541F7B">
        <w:rPr>
          <w:rFonts w:ascii="Calibri" w:eastAsia="Calibri" w:hAnsi="Calibri" w:hint="cs"/>
          <w:rtl/>
          <w:lang w:bidi="fa-IR"/>
        </w:rPr>
        <w:t xml:space="preserve">معیار نظم عمومی در قانون نمونه آنسیترال و قانون 1958 نیویورک با رویکردی موسّع پیش‌بینی شده است، که خود زمینه‌ساز اعتراض به رأی داوری بین‌المللی و یا امتناع از شناسایی و اجرای رأی می‌باشد. </w:t>
      </w:r>
    </w:p>
    <w:p w:rsidR="00541F7B" w:rsidRDefault="00541F7B" w:rsidP="00541F7B">
      <w:pPr>
        <w:bidi/>
        <w:spacing w:after="200" w:line="276" w:lineRule="auto"/>
        <w:jc w:val="mediumKashida"/>
        <w:rPr>
          <w:rFonts w:ascii="Calibri" w:eastAsia="Calibri" w:hAnsi="Calibri"/>
          <w:b/>
          <w:bCs/>
          <w:rtl/>
          <w:lang w:bidi="fa-IR"/>
        </w:rPr>
      </w:pPr>
      <w:r>
        <w:rPr>
          <w:rFonts w:ascii="Calibri" w:eastAsia="Calibri" w:hAnsi="Calibri" w:hint="cs"/>
          <w:b/>
          <w:bCs/>
          <w:rtl/>
          <w:lang w:bidi="fa-IR"/>
        </w:rPr>
        <w:t>فرضیه فرعی 2:</w:t>
      </w:r>
    </w:p>
    <w:p w:rsidR="003F38E7" w:rsidRPr="00C31F8F" w:rsidRDefault="00541F7B" w:rsidP="00C31F8F">
      <w:pPr>
        <w:bidi/>
        <w:spacing w:after="200" w:line="276" w:lineRule="auto"/>
        <w:jc w:val="mediumKashida"/>
        <w:rPr>
          <w:rFonts w:ascii="Calibri" w:eastAsia="Calibri" w:hAnsi="Calibri"/>
          <w:lang w:bidi="fa-IR"/>
        </w:rPr>
      </w:pPr>
      <w:r w:rsidRPr="00541F7B">
        <w:rPr>
          <w:rFonts w:ascii="Calibri" w:eastAsia="Calibri" w:hAnsi="Calibri" w:hint="cs"/>
          <w:rtl/>
          <w:lang w:bidi="fa-IR"/>
        </w:rPr>
        <w:t xml:space="preserve">حقوق داخلی کشورها با تکیه بر نظم عمومی، می‌تواند موجبی برای عدم شناسایی و اجرای آرای داوری‌های تجاری بین‌المللی باشد. </w:t>
      </w:r>
    </w:p>
    <w:p w:rsidR="007A2ACC" w:rsidRPr="00E34A1A" w:rsidRDefault="00C31F8F" w:rsidP="00E34A1A">
      <w:pPr>
        <w:bidi/>
        <w:spacing w:after="200" w:line="276" w:lineRule="auto"/>
        <w:jc w:val="mediumKashida"/>
        <w:rPr>
          <w:rFonts w:ascii="Calibri" w:eastAsia="Calibri" w:hAnsi="Calibri"/>
          <w:rtl/>
          <w:lang w:bidi="fa-IR"/>
        </w:rPr>
      </w:pPr>
      <w:r>
        <w:rPr>
          <w:rFonts w:ascii="Calibri" w:eastAsia="Calibri" w:hAnsi="Calibri" w:hint="cs"/>
          <w:rtl/>
          <w:lang w:bidi="fa-IR"/>
        </w:rPr>
        <w:t xml:space="preserve">هدف اصلی این نوشتار </w:t>
      </w:r>
      <w:r w:rsidR="00100DE7">
        <w:rPr>
          <w:rFonts w:ascii="Calibri" w:eastAsia="Calibri" w:hAnsi="Calibri" w:hint="cs"/>
          <w:rtl/>
          <w:lang w:bidi="fa-IR"/>
        </w:rPr>
        <w:t>روشن کردن مفهوم و حدود تاثیر نظم عمومی در زمینه اجرای ا</w:t>
      </w:r>
      <w:r>
        <w:rPr>
          <w:rFonts w:ascii="Calibri" w:eastAsia="Calibri" w:hAnsi="Calibri" w:hint="cs"/>
          <w:rtl/>
          <w:lang w:bidi="fa-IR"/>
        </w:rPr>
        <w:t>حکام داوری تجاری بین‌المللی است و همچنین کاربرد نظم عمومی در رویه عملی دادگاه‌های کشورهای مختلف را مورد بررسی قرار می‌دهیم.</w:t>
      </w:r>
    </w:p>
    <w:p w:rsidR="007A2ACC" w:rsidRPr="00F86507" w:rsidRDefault="007A2ACC" w:rsidP="004C2DA3">
      <w:pPr>
        <w:tabs>
          <w:tab w:val="right" w:pos="0"/>
        </w:tabs>
        <w:bidi/>
        <w:ind w:firstLine="360"/>
        <w:jc w:val="mediumKashida"/>
        <w:rPr>
          <w:rtl/>
          <w:lang w:bidi="fa-IR"/>
        </w:rPr>
        <w:sectPr w:rsidR="007A2ACC" w:rsidRPr="00F86507" w:rsidSect="004C79A0">
          <w:footerReference w:type="default" r:id="rId10"/>
          <w:pgSz w:w="12240" w:h="15840"/>
          <w:pgMar w:top="1530" w:right="2520" w:bottom="1440" w:left="1800" w:header="0" w:footer="1120" w:gutter="0"/>
          <w:pgNumType w:fmt="arabicAbjad" w:start="1"/>
          <w:cols w:space="720"/>
          <w:docGrid w:linePitch="381"/>
        </w:sectPr>
      </w:pPr>
    </w:p>
    <w:p w:rsidR="007A2ACC" w:rsidRPr="007A2ACC" w:rsidRDefault="00581BA0" w:rsidP="00581BA0">
      <w:pPr>
        <w:pStyle w:val="Heading1"/>
        <w:tabs>
          <w:tab w:val="left" w:pos="1155"/>
        </w:tabs>
        <w:jc w:val="left"/>
        <w:rPr>
          <w:rtl/>
        </w:rPr>
      </w:pPr>
      <w:r>
        <w:rPr>
          <w:rtl/>
        </w:rPr>
        <w:lastRenderedPageBreak/>
        <w:tab/>
      </w:r>
    </w:p>
    <w:p w:rsidR="00A00741" w:rsidRPr="00A00741" w:rsidRDefault="00A00741" w:rsidP="00A00741">
      <w:pPr>
        <w:jc w:val="center"/>
        <w:rPr>
          <w:lang w:bidi="fa-IR"/>
        </w:rPr>
      </w:pPr>
    </w:p>
    <w:p w:rsidR="00A00741" w:rsidRDefault="00A00741" w:rsidP="00A00741">
      <w:pPr>
        <w:rPr>
          <w:lang w:bidi="fa-IR"/>
        </w:rPr>
      </w:pPr>
    </w:p>
    <w:p w:rsidR="00A00741" w:rsidRDefault="00A00741" w:rsidP="00A00741">
      <w:pPr>
        <w:rPr>
          <w:lang w:bidi="fa-IR"/>
        </w:rPr>
      </w:pPr>
    </w:p>
    <w:p w:rsidR="00A00741" w:rsidRDefault="00A00741" w:rsidP="00A00741">
      <w:pPr>
        <w:rPr>
          <w:lang w:bidi="fa-IR"/>
        </w:rPr>
      </w:pPr>
    </w:p>
    <w:p w:rsidR="00A00741" w:rsidRDefault="00A00741" w:rsidP="00A00741">
      <w:pPr>
        <w:jc w:val="both"/>
        <w:rPr>
          <w:lang w:bidi="fa-IR"/>
        </w:rPr>
      </w:pPr>
    </w:p>
    <w:p w:rsidR="00A00741" w:rsidRDefault="00A00741" w:rsidP="00A00741">
      <w:pPr>
        <w:rPr>
          <w:lang w:bidi="fa-IR"/>
        </w:rPr>
      </w:pPr>
    </w:p>
    <w:p w:rsidR="00A00741" w:rsidRPr="00A00741" w:rsidRDefault="00A00741" w:rsidP="00963790">
      <w:pPr>
        <w:pStyle w:val="Heading1"/>
        <w:bidi w:val="0"/>
      </w:pPr>
      <w:bookmarkStart w:id="3" w:name="_Toc397212630"/>
      <w:r w:rsidRPr="00A00741">
        <w:rPr>
          <w:rFonts w:hint="cs"/>
          <w:rtl/>
        </w:rPr>
        <w:t>بخش اول: کلیات</w:t>
      </w:r>
      <w:bookmarkEnd w:id="3"/>
    </w:p>
    <w:p w:rsidR="00A00741" w:rsidRPr="00A00741" w:rsidRDefault="00A00741" w:rsidP="00A00741">
      <w:pPr>
        <w:jc w:val="center"/>
        <w:rPr>
          <w:rtl/>
          <w:lang w:bidi="fa-IR"/>
        </w:rPr>
      </w:pPr>
    </w:p>
    <w:p w:rsidR="00D86473" w:rsidRPr="00A00741" w:rsidRDefault="00D86473" w:rsidP="003F13D7">
      <w:pPr>
        <w:pStyle w:val="ListParagraph"/>
        <w:numPr>
          <w:ilvl w:val="0"/>
          <w:numId w:val="3"/>
        </w:numPr>
        <w:bidi/>
        <w:jc w:val="left"/>
        <w:rPr>
          <w:rFonts w:cs="B Nazanin"/>
          <w:b/>
          <w:bCs/>
          <w:sz w:val="36"/>
          <w:szCs w:val="36"/>
          <w:rtl/>
        </w:rPr>
      </w:pPr>
      <w:r w:rsidRPr="00A00741">
        <w:rPr>
          <w:rFonts w:cs="B Nazanin" w:hint="cs"/>
          <w:b/>
          <w:bCs/>
          <w:sz w:val="36"/>
          <w:szCs w:val="36"/>
          <w:rtl/>
        </w:rPr>
        <w:t>فصل اول:</w:t>
      </w:r>
      <w:r w:rsidR="004C162E" w:rsidRPr="00A00741">
        <w:rPr>
          <w:rFonts w:cs="B Nazanin" w:hint="cs"/>
          <w:b/>
          <w:bCs/>
          <w:sz w:val="36"/>
          <w:szCs w:val="36"/>
          <w:rtl/>
          <w:lang w:bidi="fa-IR"/>
        </w:rPr>
        <w:t xml:space="preserve"> شناسایی و اجرای احکام داوری بین‌المللی</w:t>
      </w:r>
    </w:p>
    <w:p w:rsidR="00D86473" w:rsidRPr="00A00741" w:rsidRDefault="00D86473" w:rsidP="003F13D7">
      <w:pPr>
        <w:pStyle w:val="ListParagraph"/>
        <w:numPr>
          <w:ilvl w:val="0"/>
          <w:numId w:val="3"/>
        </w:numPr>
        <w:bidi/>
        <w:jc w:val="left"/>
        <w:rPr>
          <w:b/>
          <w:bCs/>
          <w:sz w:val="36"/>
          <w:szCs w:val="36"/>
        </w:rPr>
      </w:pPr>
      <w:r w:rsidRPr="00A00741">
        <w:rPr>
          <w:rFonts w:cs="B Nazanin" w:hint="cs"/>
          <w:b/>
          <w:bCs/>
          <w:sz w:val="36"/>
          <w:szCs w:val="36"/>
          <w:rtl/>
        </w:rPr>
        <w:t>فصل دوم:</w:t>
      </w:r>
      <w:r w:rsidR="004C162E" w:rsidRPr="00A00741">
        <w:rPr>
          <w:rFonts w:cs="B Nazanin" w:hint="cs"/>
          <w:b/>
          <w:bCs/>
          <w:sz w:val="36"/>
          <w:szCs w:val="36"/>
          <w:rtl/>
        </w:rPr>
        <w:t xml:space="preserve"> </w:t>
      </w:r>
      <w:r w:rsidR="004C162E" w:rsidRPr="00A00741">
        <w:rPr>
          <w:rFonts w:cs="B Nazanin" w:hint="cs"/>
          <w:b/>
          <w:bCs/>
          <w:sz w:val="36"/>
          <w:szCs w:val="36"/>
          <w:rtl/>
          <w:lang w:bidi="fa-IR"/>
        </w:rPr>
        <w:t xml:space="preserve"> نظم عمومی</w:t>
      </w:r>
    </w:p>
    <w:p w:rsidR="00D86473" w:rsidRDefault="00D86473" w:rsidP="004C2DA3">
      <w:pPr>
        <w:bidi/>
        <w:ind w:firstLine="360"/>
        <w:jc w:val="center"/>
        <w:rPr>
          <w:rFonts w:cs="B Zar"/>
          <w:b/>
          <w:bCs/>
          <w:sz w:val="40"/>
          <w:szCs w:val="40"/>
          <w:lang w:bidi="fa-IR"/>
        </w:rPr>
      </w:pPr>
    </w:p>
    <w:p w:rsidR="00D86473" w:rsidRDefault="00D86473" w:rsidP="004C2DA3">
      <w:pPr>
        <w:bidi/>
        <w:ind w:firstLine="360"/>
        <w:jc w:val="center"/>
        <w:rPr>
          <w:rFonts w:cs="B Zar"/>
          <w:b/>
          <w:bCs/>
          <w:sz w:val="40"/>
          <w:szCs w:val="40"/>
          <w:lang w:bidi="fa-IR"/>
        </w:rPr>
      </w:pPr>
    </w:p>
    <w:p w:rsidR="00D86473" w:rsidRDefault="00D86473" w:rsidP="004C2DA3">
      <w:pPr>
        <w:bidi/>
        <w:ind w:firstLine="360"/>
        <w:jc w:val="center"/>
        <w:rPr>
          <w:rFonts w:cs="B Zar"/>
          <w:b/>
          <w:bCs/>
          <w:sz w:val="40"/>
          <w:szCs w:val="40"/>
          <w:lang w:bidi="fa-IR"/>
        </w:rPr>
      </w:pPr>
    </w:p>
    <w:p w:rsidR="00D86473" w:rsidRDefault="00D86473" w:rsidP="004C2DA3">
      <w:pPr>
        <w:bidi/>
        <w:ind w:firstLine="360"/>
        <w:jc w:val="center"/>
        <w:rPr>
          <w:rFonts w:cs="B Zar"/>
          <w:b/>
          <w:bCs/>
          <w:sz w:val="40"/>
          <w:szCs w:val="40"/>
          <w:lang w:bidi="fa-IR"/>
        </w:rPr>
      </w:pPr>
    </w:p>
    <w:p w:rsidR="004C162E" w:rsidRDefault="004C162E" w:rsidP="00A00741">
      <w:pPr>
        <w:tabs>
          <w:tab w:val="right" w:pos="0"/>
        </w:tabs>
        <w:bidi/>
        <w:jc w:val="mediumKashida"/>
        <w:rPr>
          <w:rFonts w:cs="B Zar"/>
          <w:b/>
          <w:bCs/>
          <w:sz w:val="40"/>
          <w:szCs w:val="40"/>
          <w:rtl/>
          <w:lang w:bidi="fa-IR"/>
        </w:rPr>
      </w:pPr>
    </w:p>
    <w:p w:rsidR="00E34A1A" w:rsidRDefault="00E34A1A" w:rsidP="00E34A1A">
      <w:pPr>
        <w:tabs>
          <w:tab w:val="right" w:pos="0"/>
        </w:tabs>
        <w:bidi/>
        <w:jc w:val="mediumKashida"/>
        <w:rPr>
          <w:rtl/>
          <w:lang w:bidi="fa-IR"/>
        </w:rPr>
      </w:pPr>
    </w:p>
    <w:p w:rsidR="004C162E" w:rsidRPr="001E7E1A" w:rsidRDefault="004C162E" w:rsidP="00963790">
      <w:pPr>
        <w:pStyle w:val="Heading1"/>
        <w:rPr>
          <w:rtl/>
        </w:rPr>
      </w:pPr>
      <w:bookmarkStart w:id="4" w:name="_Toc397212631"/>
      <w:r w:rsidRPr="001E7E1A">
        <w:rPr>
          <w:rFonts w:hint="cs"/>
          <w:rtl/>
        </w:rPr>
        <w:lastRenderedPageBreak/>
        <w:t>فصل اول: شناسایی و اجرای احکام داوری بین‌المللی</w:t>
      </w:r>
      <w:bookmarkEnd w:id="4"/>
    </w:p>
    <w:p w:rsidR="004C162E" w:rsidRDefault="004C162E" w:rsidP="004C2DA3">
      <w:pPr>
        <w:tabs>
          <w:tab w:val="right" w:pos="0"/>
        </w:tabs>
        <w:bidi/>
        <w:ind w:firstLine="360"/>
        <w:jc w:val="mediumKashida"/>
        <w:rPr>
          <w:rtl/>
          <w:lang w:bidi="fa-IR"/>
        </w:rPr>
      </w:pPr>
    </w:p>
    <w:p w:rsidR="000B2BBA" w:rsidRPr="00762CC7" w:rsidRDefault="000B2BBA" w:rsidP="004C2DA3">
      <w:pPr>
        <w:tabs>
          <w:tab w:val="right" w:pos="0"/>
        </w:tabs>
        <w:bidi/>
        <w:ind w:firstLine="360"/>
        <w:jc w:val="mediumKashida"/>
        <w:rPr>
          <w:rtl/>
          <w:lang w:bidi="fa-IR"/>
        </w:rPr>
      </w:pPr>
      <w:r w:rsidRPr="00762CC7">
        <w:rPr>
          <w:rFonts w:hint="cs"/>
          <w:rtl/>
          <w:lang w:bidi="fa-IR"/>
        </w:rPr>
        <w:t>ب</w:t>
      </w:r>
      <w:r w:rsidR="007465FA">
        <w:rPr>
          <w:rFonts w:hint="cs"/>
          <w:rtl/>
          <w:lang w:bidi="fa-IR"/>
        </w:rPr>
        <w:t>ه‌</w:t>
      </w:r>
      <w:r w:rsidRPr="00762CC7">
        <w:rPr>
          <w:rFonts w:hint="cs"/>
          <w:rtl/>
          <w:lang w:bidi="fa-IR"/>
        </w:rPr>
        <w:t>طور کلی در زمینه امور تجاری، مخصوصاً تجارت بین</w:t>
      </w:r>
      <w:r w:rsidR="003C333A">
        <w:rPr>
          <w:rFonts w:hint="cs"/>
          <w:rtl/>
          <w:lang w:bidi="fa-IR"/>
        </w:rPr>
        <w:t>‌الملل</w:t>
      </w:r>
      <w:r w:rsidRPr="00762CC7">
        <w:rPr>
          <w:rFonts w:hint="cs"/>
          <w:rtl/>
          <w:lang w:bidi="fa-IR"/>
        </w:rPr>
        <w:t>ی، فواید روش داوری برای حل و فصل اختلافات، بر هیچ کس پوشیده نیست. امروزه کمتر تاجر بین</w:t>
      </w:r>
      <w:r w:rsidR="003C333A">
        <w:rPr>
          <w:rFonts w:hint="cs"/>
          <w:rtl/>
          <w:lang w:bidi="fa-IR"/>
        </w:rPr>
        <w:t>‌</w:t>
      </w:r>
      <w:r w:rsidRPr="00762CC7">
        <w:rPr>
          <w:rFonts w:hint="cs"/>
          <w:rtl/>
          <w:lang w:bidi="fa-IR"/>
        </w:rPr>
        <w:t>المللی مایل به رجوع به مراجع قضایی ملی، برای حل و فصل اختلافات خود با سایر تجار و یا حتی کشورهاست.</w:t>
      </w:r>
    </w:p>
    <w:p w:rsidR="000B2BBA" w:rsidRPr="00762CC7" w:rsidRDefault="000B2BBA" w:rsidP="004C2DA3">
      <w:pPr>
        <w:bidi/>
        <w:ind w:firstLine="360"/>
        <w:jc w:val="mediumKashida"/>
        <w:rPr>
          <w:rtl/>
          <w:lang w:bidi="fa-IR"/>
        </w:rPr>
      </w:pPr>
      <w:r w:rsidRPr="00762CC7">
        <w:rPr>
          <w:rFonts w:hint="cs"/>
          <w:rtl/>
          <w:lang w:bidi="fa-IR"/>
        </w:rPr>
        <w:t>قابل پیش بینی بودن قوانین و مقررات ماهوی و شکلی کشورها و متعاقباً وجود قابلیت تقلب و همچنین در کنار آن، عدم اطلاع تجار از قوانین کشورهای مختلف، ظن عدم بی‌طرفی و عدم امکان رسیدگی تخصصی و صنفی در دادگاههای ملی، عدم امکان ح</w:t>
      </w:r>
      <w:r w:rsidR="003C333A">
        <w:rPr>
          <w:rFonts w:hint="cs"/>
          <w:rtl/>
          <w:lang w:bidi="fa-IR"/>
        </w:rPr>
        <w:t xml:space="preserve">ل مسالمت‌آمیز </w:t>
      </w:r>
      <w:r w:rsidRPr="00762CC7">
        <w:rPr>
          <w:rFonts w:hint="cs"/>
          <w:rtl/>
          <w:lang w:bidi="fa-IR"/>
        </w:rPr>
        <w:t>اختلافات در محاکم ملی در بسیاری از دعاوی تجاری بین‌المللی، طولانی و پرهزینه بودن رسیدگی در مراجع قضایی ملی، از یک طرف، و از طرف دیگر؛ رسیدگی تخصصی توسط داور یا داوران بین‌المللی، سرعت بالای رسیدگی در داوری، امکان حل مسالمت</w:t>
      </w:r>
      <w:r w:rsidR="003C333A">
        <w:rPr>
          <w:rFonts w:hint="cs"/>
          <w:rtl/>
          <w:lang w:bidi="fa-IR"/>
        </w:rPr>
        <w:t>‌</w:t>
      </w:r>
      <w:r w:rsidRPr="00762CC7">
        <w:rPr>
          <w:rFonts w:hint="cs"/>
          <w:rtl/>
          <w:lang w:bidi="fa-IR"/>
        </w:rPr>
        <w:t>آمیز اختلافات و حفظ منافع طرفین-به دلیل انتخابی بودن داوران توسط طرفین-، باعث شده است که امروزه اکثریت دعاوی تجاری بین‌المللی از طریق داوری حل و فصل شود.</w:t>
      </w:r>
      <w:r w:rsidRPr="00762CC7">
        <w:rPr>
          <w:rStyle w:val="FootnoteReference"/>
          <w:rtl/>
          <w:lang w:bidi="fa-IR"/>
        </w:rPr>
        <w:footnoteReference w:id="1"/>
      </w:r>
    </w:p>
    <w:p w:rsidR="000B2BBA" w:rsidRDefault="000B2BBA" w:rsidP="004C2DA3">
      <w:pPr>
        <w:bidi/>
        <w:ind w:firstLine="360"/>
        <w:jc w:val="mediumKashida"/>
        <w:rPr>
          <w:rtl/>
          <w:lang w:bidi="fa-IR"/>
        </w:rPr>
      </w:pPr>
      <w:r w:rsidRPr="00762CC7">
        <w:rPr>
          <w:rFonts w:hint="cs"/>
          <w:rtl/>
          <w:lang w:bidi="fa-IR"/>
        </w:rPr>
        <w:t>علی‌رغم تمام فواید روش داوری برای حل و فصل اختلافات تجاری، لازم به یادآوری است که فرآیند مذکور شامل دو بخش رسیدگی به اخ</w:t>
      </w:r>
      <w:r w:rsidR="003C333A">
        <w:rPr>
          <w:rFonts w:hint="cs"/>
          <w:rtl/>
          <w:lang w:bidi="fa-IR"/>
        </w:rPr>
        <w:t>تلاف و اجرای رأ</w:t>
      </w:r>
      <w:r w:rsidRPr="00762CC7">
        <w:rPr>
          <w:rFonts w:hint="cs"/>
          <w:rtl/>
          <w:lang w:bidi="fa-IR"/>
        </w:rPr>
        <w:t>ی است. اگرچه اصولاً در قسمت نخست دادگاههای ملی دخالتی نخواهند داشت، اما نقش این دادگاه</w:t>
      </w:r>
      <w:r w:rsidR="003C333A">
        <w:rPr>
          <w:rFonts w:hint="cs"/>
          <w:rtl/>
          <w:lang w:bidi="fa-IR"/>
        </w:rPr>
        <w:t>‌</w:t>
      </w:r>
      <w:r w:rsidRPr="00762CC7">
        <w:rPr>
          <w:rFonts w:hint="cs"/>
          <w:rtl/>
          <w:lang w:bidi="fa-IR"/>
        </w:rPr>
        <w:t>ها و نظام حقوقی کشورها در مرحله دوم قابل توجه است. ب</w:t>
      </w:r>
      <w:r w:rsidRPr="00762CC7">
        <w:rPr>
          <w:rtl/>
          <w:lang w:bidi="fa-IR"/>
        </w:rPr>
        <w:t xml:space="preserve">ه عبارت </w:t>
      </w:r>
      <w:r w:rsidRPr="00762CC7">
        <w:rPr>
          <w:rtl/>
          <w:lang w:bidi="fa-IR"/>
        </w:rPr>
        <w:lastRenderedPageBreak/>
        <w:t>د</w:t>
      </w:r>
      <w:r w:rsidRPr="00762CC7">
        <w:rPr>
          <w:rFonts w:hint="cs"/>
          <w:rtl/>
          <w:lang w:bidi="fa-IR"/>
        </w:rPr>
        <w:t>ی</w:t>
      </w:r>
      <w:r w:rsidRPr="00762CC7">
        <w:rPr>
          <w:rFonts w:hint="eastAsia"/>
          <w:rtl/>
          <w:lang w:bidi="fa-IR"/>
        </w:rPr>
        <w:t>گر</w:t>
      </w:r>
      <w:r w:rsidRPr="00762CC7">
        <w:rPr>
          <w:rtl/>
          <w:lang w:bidi="fa-IR"/>
        </w:rPr>
        <w:t xml:space="preserve"> اجرا</w:t>
      </w:r>
      <w:r w:rsidRPr="00762CC7">
        <w:rPr>
          <w:rFonts w:hint="cs"/>
          <w:rtl/>
          <w:lang w:bidi="fa-IR"/>
        </w:rPr>
        <w:t>ی</w:t>
      </w:r>
      <w:r w:rsidRPr="00762CC7">
        <w:rPr>
          <w:rtl/>
          <w:lang w:bidi="fa-IR"/>
        </w:rPr>
        <w:t xml:space="preserve"> </w:t>
      </w:r>
      <w:r w:rsidRPr="00762CC7">
        <w:rPr>
          <w:rFonts w:hint="cs"/>
          <w:rtl/>
          <w:lang w:bidi="fa-IR"/>
        </w:rPr>
        <w:t>آرای</w:t>
      </w:r>
      <w:r w:rsidRPr="00762CC7">
        <w:rPr>
          <w:rtl/>
          <w:lang w:bidi="fa-IR"/>
        </w:rPr>
        <w:t xml:space="preserve"> داور</w:t>
      </w:r>
      <w:r w:rsidRPr="00762CC7">
        <w:rPr>
          <w:rFonts w:hint="cs"/>
          <w:rtl/>
          <w:lang w:bidi="fa-IR"/>
        </w:rPr>
        <w:t>ی</w:t>
      </w:r>
      <w:r w:rsidRPr="00762CC7">
        <w:rPr>
          <w:rtl/>
          <w:lang w:bidi="fa-IR"/>
        </w:rPr>
        <w:t xml:space="preserve"> و قضا</w:t>
      </w:r>
      <w:r w:rsidRPr="00762CC7">
        <w:rPr>
          <w:rFonts w:hint="cs"/>
          <w:rtl/>
          <w:lang w:bidi="fa-IR"/>
        </w:rPr>
        <w:t>یی</w:t>
      </w:r>
      <w:r w:rsidRPr="00762CC7">
        <w:rPr>
          <w:rtl/>
          <w:lang w:bidi="fa-IR"/>
        </w:rPr>
        <w:t xml:space="preserve"> که در خارج </w:t>
      </w:r>
      <w:r w:rsidRPr="00762CC7">
        <w:rPr>
          <w:rFonts w:hint="cs"/>
          <w:rtl/>
          <w:lang w:bidi="fa-IR"/>
        </w:rPr>
        <w:t>ی</w:t>
      </w:r>
      <w:r w:rsidRPr="00762CC7">
        <w:rPr>
          <w:rFonts w:hint="eastAsia"/>
          <w:rtl/>
          <w:lang w:bidi="fa-IR"/>
        </w:rPr>
        <w:t>ا</w:t>
      </w:r>
      <w:r w:rsidRPr="00762CC7">
        <w:rPr>
          <w:rtl/>
          <w:lang w:bidi="fa-IR"/>
        </w:rPr>
        <w:t xml:space="preserve"> داخل صادر شده مستلزم دخالت و مساعدت قدرت عموم</w:t>
      </w:r>
      <w:r w:rsidRPr="00762CC7">
        <w:rPr>
          <w:rFonts w:hint="cs"/>
          <w:rtl/>
          <w:lang w:bidi="fa-IR"/>
        </w:rPr>
        <w:t>ی</w:t>
      </w:r>
      <w:r w:rsidRPr="00762CC7">
        <w:rPr>
          <w:rtl/>
          <w:lang w:bidi="fa-IR"/>
        </w:rPr>
        <w:t xml:space="preserve"> دولت و گاه</w:t>
      </w:r>
      <w:r w:rsidRPr="00762CC7">
        <w:rPr>
          <w:rFonts w:hint="cs"/>
          <w:rtl/>
          <w:lang w:bidi="fa-IR"/>
        </w:rPr>
        <w:t>ی</w:t>
      </w:r>
      <w:r w:rsidRPr="00762CC7">
        <w:rPr>
          <w:rtl/>
          <w:lang w:bidi="fa-IR"/>
        </w:rPr>
        <w:t xml:space="preserve"> قوا</w:t>
      </w:r>
      <w:r w:rsidRPr="00762CC7">
        <w:rPr>
          <w:rFonts w:hint="cs"/>
          <w:rtl/>
          <w:lang w:bidi="fa-IR"/>
        </w:rPr>
        <w:t>ی</w:t>
      </w:r>
      <w:r w:rsidRPr="00762CC7">
        <w:rPr>
          <w:rtl/>
          <w:lang w:bidi="fa-IR"/>
        </w:rPr>
        <w:t xml:space="preserve"> انتظام</w:t>
      </w:r>
      <w:r w:rsidRPr="00762CC7">
        <w:rPr>
          <w:rFonts w:hint="cs"/>
          <w:rtl/>
          <w:lang w:bidi="fa-IR"/>
        </w:rPr>
        <w:t>ی</w:t>
      </w:r>
      <w:r w:rsidRPr="00762CC7">
        <w:rPr>
          <w:rtl/>
          <w:lang w:bidi="fa-IR"/>
        </w:rPr>
        <w:t xml:space="preserve"> آن است.</w:t>
      </w:r>
      <w:r w:rsidRPr="00762CC7">
        <w:rPr>
          <w:rFonts w:hint="cs"/>
          <w:rtl/>
          <w:lang w:bidi="fa-IR"/>
        </w:rPr>
        <w:t xml:space="preserve"> </w:t>
      </w:r>
      <w:r w:rsidRPr="00762CC7">
        <w:rPr>
          <w:rtl/>
          <w:lang w:bidi="fa-IR"/>
        </w:rPr>
        <w:t>قبل از هر چ</w:t>
      </w:r>
      <w:r w:rsidRPr="00762CC7">
        <w:rPr>
          <w:rFonts w:hint="cs"/>
          <w:rtl/>
          <w:lang w:bidi="fa-IR"/>
        </w:rPr>
        <w:t>ی</w:t>
      </w:r>
      <w:r w:rsidRPr="00762CC7">
        <w:rPr>
          <w:rFonts w:hint="eastAsia"/>
          <w:rtl/>
          <w:lang w:bidi="fa-IR"/>
        </w:rPr>
        <w:t>ز</w:t>
      </w:r>
      <w:r w:rsidRPr="00762CC7">
        <w:rPr>
          <w:rtl/>
          <w:lang w:bidi="fa-IR"/>
        </w:rPr>
        <w:t xml:space="preserve"> مراجع </w:t>
      </w:r>
      <w:r w:rsidRPr="00862134">
        <w:rPr>
          <w:rtl/>
          <w:lang w:bidi="fa-IR"/>
        </w:rPr>
        <w:t>اجرا کننده رأ</w:t>
      </w:r>
      <w:r w:rsidRPr="00862134">
        <w:rPr>
          <w:rFonts w:hint="cs"/>
          <w:rtl/>
          <w:lang w:bidi="fa-IR"/>
        </w:rPr>
        <w:t>ی</w:t>
      </w:r>
      <w:r w:rsidRPr="00862134">
        <w:rPr>
          <w:rtl/>
          <w:lang w:bidi="fa-IR"/>
        </w:rPr>
        <w:t xml:space="preserve"> داور</w:t>
      </w:r>
      <w:r w:rsidRPr="00862134">
        <w:rPr>
          <w:rFonts w:hint="cs"/>
          <w:rtl/>
          <w:lang w:bidi="fa-IR"/>
        </w:rPr>
        <w:t>ی</w:t>
      </w:r>
      <w:r w:rsidRPr="00862134">
        <w:rPr>
          <w:rtl/>
          <w:lang w:bidi="fa-IR"/>
        </w:rPr>
        <w:t xml:space="preserve"> خارج</w:t>
      </w:r>
      <w:r w:rsidRPr="00862134">
        <w:rPr>
          <w:rFonts w:hint="cs"/>
          <w:rtl/>
          <w:lang w:bidi="fa-IR"/>
        </w:rPr>
        <w:t>ی</w:t>
      </w:r>
      <w:r w:rsidRPr="00862134">
        <w:rPr>
          <w:rtl/>
          <w:lang w:bidi="fa-IR"/>
        </w:rPr>
        <w:t xml:space="preserve"> با</w:t>
      </w:r>
      <w:r w:rsidRPr="00862134">
        <w:rPr>
          <w:rFonts w:hint="cs"/>
          <w:rtl/>
          <w:lang w:bidi="fa-IR"/>
        </w:rPr>
        <w:t>ی</w:t>
      </w:r>
      <w:r w:rsidRPr="00862134">
        <w:rPr>
          <w:rFonts w:hint="eastAsia"/>
          <w:rtl/>
          <w:lang w:bidi="fa-IR"/>
        </w:rPr>
        <w:t>د</w:t>
      </w:r>
      <w:r w:rsidRPr="00862134">
        <w:rPr>
          <w:rtl/>
          <w:lang w:bidi="fa-IR"/>
        </w:rPr>
        <w:t xml:space="preserve"> رأ</w:t>
      </w:r>
      <w:r w:rsidRPr="00862134">
        <w:rPr>
          <w:rFonts w:hint="cs"/>
          <w:rtl/>
          <w:lang w:bidi="fa-IR"/>
        </w:rPr>
        <w:t>ی</w:t>
      </w:r>
      <w:r w:rsidRPr="00862134">
        <w:rPr>
          <w:rtl/>
          <w:lang w:bidi="fa-IR"/>
        </w:rPr>
        <w:t xml:space="preserve"> را به رسم</w:t>
      </w:r>
      <w:r w:rsidRPr="00862134">
        <w:rPr>
          <w:rFonts w:hint="cs"/>
          <w:rtl/>
          <w:lang w:bidi="fa-IR"/>
        </w:rPr>
        <w:t>ی</w:t>
      </w:r>
      <w:r w:rsidRPr="00862134">
        <w:rPr>
          <w:rFonts w:hint="eastAsia"/>
          <w:rtl/>
          <w:lang w:bidi="fa-IR"/>
        </w:rPr>
        <w:t>ت</w:t>
      </w:r>
      <w:r w:rsidRPr="00862134">
        <w:rPr>
          <w:rtl/>
          <w:lang w:bidi="fa-IR"/>
        </w:rPr>
        <w:t xml:space="preserve"> </w:t>
      </w:r>
      <w:r w:rsidRPr="00862134">
        <w:rPr>
          <w:rFonts w:hint="cs"/>
          <w:rtl/>
          <w:lang w:bidi="fa-IR"/>
        </w:rPr>
        <w:t>شناخته،</w:t>
      </w:r>
      <w:r w:rsidRPr="00862134">
        <w:rPr>
          <w:rtl/>
          <w:lang w:bidi="fa-IR"/>
        </w:rPr>
        <w:t xml:space="preserve"> آن را تصم</w:t>
      </w:r>
      <w:r w:rsidRPr="00862134">
        <w:rPr>
          <w:rFonts w:hint="cs"/>
          <w:rtl/>
          <w:lang w:bidi="fa-IR"/>
        </w:rPr>
        <w:t>ی</w:t>
      </w:r>
      <w:r w:rsidRPr="00862134">
        <w:rPr>
          <w:rFonts w:hint="eastAsia"/>
          <w:rtl/>
          <w:lang w:bidi="fa-IR"/>
        </w:rPr>
        <w:t>م</w:t>
      </w:r>
      <w:r w:rsidRPr="00862134">
        <w:rPr>
          <w:rFonts w:hint="cs"/>
          <w:rtl/>
          <w:lang w:bidi="fa-IR"/>
        </w:rPr>
        <w:t>ی</w:t>
      </w:r>
      <w:r w:rsidRPr="00862134">
        <w:rPr>
          <w:rtl/>
          <w:lang w:bidi="fa-IR"/>
        </w:rPr>
        <w:t xml:space="preserve"> الزام آور تلق</w:t>
      </w:r>
      <w:r w:rsidRPr="00862134">
        <w:rPr>
          <w:rFonts w:hint="cs"/>
          <w:rtl/>
          <w:lang w:bidi="fa-IR"/>
        </w:rPr>
        <w:t>ی</w:t>
      </w:r>
      <w:r w:rsidRPr="00862134">
        <w:rPr>
          <w:rtl/>
          <w:lang w:bidi="fa-IR"/>
        </w:rPr>
        <w:t xml:space="preserve"> کنند و سپس آن را به اجرا در آورند.</w:t>
      </w:r>
      <w:r w:rsidR="00762CC7" w:rsidRPr="00862134">
        <w:rPr>
          <w:rFonts w:hint="cs"/>
          <w:rtl/>
          <w:lang w:bidi="fa-IR"/>
        </w:rPr>
        <w:t xml:space="preserve"> </w:t>
      </w:r>
      <w:r w:rsidRPr="00862134">
        <w:rPr>
          <w:rFonts w:hint="cs"/>
          <w:rtl/>
          <w:lang w:bidi="fa-IR"/>
        </w:rPr>
        <w:t>ا</w:t>
      </w:r>
      <w:r w:rsidR="00762CC7" w:rsidRPr="00862134">
        <w:rPr>
          <w:rFonts w:hint="cs"/>
          <w:rtl/>
          <w:lang w:bidi="fa-IR"/>
        </w:rPr>
        <w:t>ز اینرو در این گفتار</w:t>
      </w:r>
      <w:r w:rsidRPr="00862134">
        <w:rPr>
          <w:rFonts w:hint="cs"/>
          <w:rtl/>
          <w:lang w:bidi="fa-IR"/>
        </w:rPr>
        <w:t xml:space="preserve"> </w:t>
      </w:r>
      <w:r w:rsidR="003C333A" w:rsidRPr="00862134">
        <w:rPr>
          <w:rFonts w:hint="cs"/>
          <w:rtl/>
          <w:lang w:bidi="fa-IR"/>
        </w:rPr>
        <w:t xml:space="preserve">دو مقوله </w:t>
      </w:r>
      <w:r w:rsidRPr="00862134">
        <w:rPr>
          <w:rFonts w:hint="cs"/>
          <w:rtl/>
          <w:lang w:bidi="fa-IR"/>
        </w:rPr>
        <w:t>شناسایی</w:t>
      </w:r>
      <w:r w:rsidR="003C333A" w:rsidRPr="00862134">
        <w:rPr>
          <w:rFonts w:hint="cs"/>
          <w:rtl/>
          <w:lang w:bidi="fa-IR"/>
        </w:rPr>
        <w:t xml:space="preserve"> احکام داوری و اجرای آن</w:t>
      </w:r>
      <w:r w:rsidRPr="00862134">
        <w:rPr>
          <w:rFonts w:hint="cs"/>
          <w:rtl/>
          <w:lang w:bidi="fa-IR"/>
        </w:rPr>
        <w:t xml:space="preserve"> </w:t>
      </w:r>
      <w:r w:rsidR="003C333A" w:rsidRPr="00862134">
        <w:rPr>
          <w:rFonts w:hint="cs"/>
          <w:rtl/>
          <w:lang w:bidi="fa-IR"/>
        </w:rPr>
        <w:t>به طور جداگانه مورد بررسی قرار می‌گیرد.</w:t>
      </w:r>
    </w:p>
    <w:p w:rsidR="00F9644C" w:rsidRPr="00F9644C" w:rsidRDefault="00F9644C" w:rsidP="004C2DA3">
      <w:pPr>
        <w:bidi/>
        <w:ind w:firstLine="360"/>
        <w:jc w:val="mediumKashida"/>
        <w:rPr>
          <w:rtl/>
          <w:lang w:bidi="fa-IR"/>
        </w:rPr>
      </w:pPr>
    </w:p>
    <w:p w:rsidR="000A34A6" w:rsidRDefault="00A67595" w:rsidP="004C2DA3">
      <w:pPr>
        <w:pStyle w:val="Heading2"/>
        <w:bidi/>
        <w:ind w:firstLine="360"/>
        <w:jc w:val="center"/>
        <w:rPr>
          <w:lang w:bidi="fa-IR"/>
        </w:rPr>
      </w:pPr>
      <w:bookmarkStart w:id="5" w:name="_Toc397212632"/>
      <w:r w:rsidRPr="000A34A6">
        <w:rPr>
          <w:rFonts w:hint="cs"/>
          <w:rtl/>
          <w:lang w:bidi="fa-IR"/>
        </w:rPr>
        <w:t>گفتار</w:t>
      </w:r>
      <w:r w:rsidR="00E8412C" w:rsidRPr="000A34A6">
        <w:rPr>
          <w:rFonts w:hint="cs"/>
          <w:rtl/>
          <w:lang w:bidi="fa-IR"/>
        </w:rPr>
        <w:t xml:space="preserve"> اول: شناسایی احکام داوری بین</w:t>
      </w:r>
      <w:r w:rsidR="003C333A" w:rsidRPr="000A34A6">
        <w:rPr>
          <w:rFonts w:hint="cs"/>
          <w:rtl/>
          <w:lang w:bidi="fa-IR"/>
        </w:rPr>
        <w:t>‌</w:t>
      </w:r>
      <w:r w:rsidR="00E8412C" w:rsidRPr="000A34A6">
        <w:rPr>
          <w:rFonts w:hint="cs"/>
          <w:rtl/>
          <w:lang w:bidi="fa-IR"/>
        </w:rPr>
        <w:t>المللی</w:t>
      </w:r>
      <w:bookmarkEnd w:id="5"/>
    </w:p>
    <w:p w:rsidR="001E7E1A" w:rsidRPr="001E7E1A" w:rsidRDefault="001E7E1A" w:rsidP="001E7E1A">
      <w:pPr>
        <w:bidi/>
        <w:rPr>
          <w:rtl/>
          <w:lang w:bidi="fa-IR"/>
        </w:rPr>
      </w:pPr>
    </w:p>
    <w:p w:rsidR="00097B13" w:rsidRPr="00B47843" w:rsidRDefault="00F51304" w:rsidP="004C2DA3">
      <w:pPr>
        <w:bidi/>
        <w:ind w:firstLine="360"/>
        <w:jc w:val="mediumKashida"/>
        <w:rPr>
          <w:rtl/>
          <w:lang w:bidi="fa-IR"/>
        </w:rPr>
      </w:pPr>
      <w:r w:rsidRPr="00B47843">
        <w:rPr>
          <w:rFonts w:hint="cs"/>
          <w:rtl/>
          <w:lang w:bidi="fa-IR"/>
        </w:rPr>
        <w:t>اساساً هر حکمی از هر نهاد داوری بین</w:t>
      </w:r>
      <w:r w:rsidR="00B53536">
        <w:rPr>
          <w:rFonts w:hint="cs"/>
          <w:rtl/>
          <w:lang w:bidi="fa-IR"/>
        </w:rPr>
        <w:t>‌</w:t>
      </w:r>
      <w:r w:rsidRPr="00B47843">
        <w:rPr>
          <w:rFonts w:hint="cs"/>
          <w:rtl/>
          <w:lang w:bidi="fa-IR"/>
        </w:rPr>
        <w:t xml:space="preserve">المللی برای اجرا در یک نظام </w:t>
      </w:r>
      <w:r w:rsidR="00097B13" w:rsidRPr="00B47843">
        <w:rPr>
          <w:rFonts w:hint="cs"/>
          <w:rtl/>
          <w:lang w:bidi="fa-IR"/>
        </w:rPr>
        <w:t xml:space="preserve">حقوقی ملی، نیازمند شناسایی است. «از لحاظ نظری، دو مفهوم شناسایی و اجرا کاملاً متفاوت از یکدیگر هستند. منظور از شناسایی رأی داوری این است که به رأی مزبور ارزشی مشابه با احکام صادره از دادگاههای کشور محل درخواست اجرا داده شود، در حالی که منظور از اجرا، متعهد نمودن و </w:t>
      </w:r>
      <w:r w:rsidR="008B79CE" w:rsidRPr="00B47843">
        <w:rPr>
          <w:rFonts w:hint="cs"/>
          <w:rtl/>
          <w:lang w:bidi="fa-IR"/>
        </w:rPr>
        <w:t>وا داشت</w:t>
      </w:r>
      <w:r w:rsidR="008B79CE" w:rsidRPr="00B47843">
        <w:rPr>
          <w:rFonts w:hint="eastAsia"/>
          <w:rtl/>
          <w:lang w:bidi="fa-IR"/>
        </w:rPr>
        <w:t>ن</w:t>
      </w:r>
      <w:r w:rsidR="00097B13" w:rsidRPr="00B47843">
        <w:rPr>
          <w:rFonts w:hint="cs"/>
          <w:rtl/>
          <w:lang w:bidi="fa-IR"/>
        </w:rPr>
        <w:t xml:space="preserve"> </w:t>
      </w:r>
      <w:r w:rsidR="00555EF7" w:rsidRPr="00B47843">
        <w:rPr>
          <w:rFonts w:hint="cs"/>
          <w:rtl/>
          <w:lang w:bidi="fa-IR"/>
        </w:rPr>
        <w:t>محکوم علیه</w:t>
      </w:r>
      <w:r w:rsidR="00097B13" w:rsidRPr="00B47843">
        <w:rPr>
          <w:rFonts w:hint="cs"/>
          <w:rtl/>
          <w:lang w:bidi="fa-IR"/>
        </w:rPr>
        <w:t xml:space="preserve"> به اجرای مفاد رأی است. شاید مهمترین هدف شناسایی این است که </w:t>
      </w:r>
      <w:r w:rsidR="00555EF7" w:rsidRPr="00B47843">
        <w:rPr>
          <w:rFonts w:hint="cs"/>
          <w:rtl/>
          <w:lang w:bidi="fa-IR"/>
        </w:rPr>
        <w:t>محکوم علیه</w:t>
      </w:r>
      <w:r w:rsidR="00097B13" w:rsidRPr="00B47843">
        <w:rPr>
          <w:rFonts w:hint="cs"/>
          <w:rtl/>
          <w:lang w:bidi="fa-IR"/>
        </w:rPr>
        <w:t xml:space="preserve"> از تحصیل حکم متعارض دیگر نسبت به همان دعوی منع گردد.»</w:t>
      </w:r>
      <w:r w:rsidR="00097B13" w:rsidRPr="00B47843">
        <w:rPr>
          <w:rStyle w:val="FootnoteReference"/>
          <w:rtl/>
          <w:lang w:bidi="fa-IR"/>
        </w:rPr>
        <w:footnoteReference w:id="2"/>
      </w:r>
    </w:p>
    <w:p w:rsidR="004340D1" w:rsidRPr="00B47843" w:rsidRDefault="00097B13" w:rsidP="004C2DA3">
      <w:pPr>
        <w:bidi/>
        <w:ind w:firstLine="360"/>
        <w:jc w:val="mediumKashida"/>
        <w:rPr>
          <w:rtl/>
          <w:lang w:bidi="fa-IR"/>
        </w:rPr>
      </w:pPr>
      <w:r w:rsidRPr="00B47843">
        <w:rPr>
          <w:rFonts w:hint="cs"/>
          <w:rtl/>
          <w:lang w:bidi="fa-IR"/>
        </w:rPr>
        <w:t>کنوانسیون</w:t>
      </w:r>
      <w:r w:rsidR="00B53536">
        <w:rPr>
          <w:rFonts w:hint="cs"/>
          <w:rtl/>
          <w:lang w:bidi="fa-IR"/>
        </w:rPr>
        <w:t>‌</w:t>
      </w:r>
      <w:r w:rsidRPr="00B47843">
        <w:rPr>
          <w:rFonts w:hint="cs"/>
          <w:rtl/>
          <w:lang w:bidi="fa-IR"/>
        </w:rPr>
        <w:t>های بین</w:t>
      </w:r>
      <w:r w:rsidR="00B53536">
        <w:rPr>
          <w:rFonts w:hint="cs"/>
          <w:rtl/>
          <w:lang w:bidi="fa-IR"/>
        </w:rPr>
        <w:t>‌</w:t>
      </w:r>
      <w:r w:rsidRPr="00B47843">
        <w:rPr>
          <w:rFonts w:hint="cs"/>
          <w:rtl/>
          <w:lang w:bidi="fa-IR"/>
        </w:rPr>
        <w:t>المللی نیز در مقررات خود به هر دو فرآیند شناسایی و اجرا توجه داشته</w:t>
      </w:r>
      <w:r w:rsidR="00B53536">
        <w:rPr>
          <w:rFonts w:hint="cs"/>
          <w:rtl/>
          <w:lang w:bidi="fa-IR"/>
        </w:rPr>
        <w:t>‌</w:t>
      </w:r>
      <w:r w:rsidRPr="00B47843">
        <w:rPr>
          <w:rFonts w:hint="cs"/>
          <w:rtl/>
          <w:lang w:bidi="fa-IR"/>
        </w:rPr>
        <w:t>اند. برای مثال، در بند یک ماده یک کنوانسیون</w:t>
      </w:r>
      <w:r w:rsidR="00112024" w:rsidRPr="00B47843">
        <w:rPr>
          <w:rFonts w:hint="cs"/>
          <w:rtl/>
          <w:lang w:bidi="fa-IR"/>
        </w:rPr>
        <w:t xml:space="preserve"> 1927 ژنو راجع به </w:t>
      </w:r>
      <w:r w:rsidR="005D15BC" w:rsidRPr="00B47843">
        <w:rPr>
          <w:rFonts w:hint="cs"/>
          <w:rtl/>
          <w:lang w:bidi="fa-IR"/>
        </w:rPr>
        <w:t>اجرای احکام داوری خارجی آمده است:</w:t>
      </w:r>
    </w:p>
    <w:p w:rsidR="005D15BC" w:rsidRPr="00B47843" w:rsidRDefault="005D15BC" w:rsidP="004C2DA3">
      <w:pPr>
        <w:bidi/>
        <w:ind w:firstLine="360"/>
        <w:jc w:val="mediumKashida"/>
        <w:rPr>
          <w:rtl/>
          <w:lang w:bidi="fa-IR"/>
        </w:rPr>
      </w:pPr>
      <w:r w:rsidRPr="00B47843">
        <w:rPr>
          <w:rFonts w:hint="cs"/>
          <w:rtl/>
          <w:lang w:bidi="fa-IR"/>
        </w:rPr>
        <w:lastRenderedPageBreak/>
        <w:t>«در قلمرو دول معظم متعاهدی که این کنوانسیون اعمال می</w:t>
      </w:r>
      <w:r w:rsidR="00B53536">
        <w:rPr>
          <w:rFonts w:hint="cs"/>
          <w:rtl/>
          <w:lang w:bidi="fa-IR"/>
        </w:rPr>
        <w:t>‌</w:t>
      </w:r>
      <w:r w:rsidRPr="00B47843">
        <w:rPr>
          <w:rFonts w:hint="cs"/>
          <w:rtl/>
          <w:lang w:bidi="fa-IR"/>
        </w:rPr>
        <w:t>شود، رأی داوری صادره متعاقب یک موافقتنامه ناظر به اختلافات موجود یا آتی ... مشمول پروتکل ژنو ... الزام</w:t>
      </w:r>
      <w:r w:rsidR="00B53536">
        <w:rPr>
          <w:rFonts w:hint="cs"/>
          <w:rtl/>
          <w:lang w:bidi="fa-IR"/>
        </w:rPr>
        <w:t>‌</w:t>
      </w:r>
      <w:r w:rsidR="00D30256" w:rsidRPr="00B47843">
        <w:rPr>
          <w:rFonts w:hint="cs"/>
          <w:rtl/>
          <w:lang w:bidi="fa-IR"/>
        </w:rPr>
        <w:t>آور شناخته شده</w:t>
      </w:r>
      <w:r w:rsidRPr="00B47843">
        <w:rPr>
          <w:rFonts w:hint="cs"/>
          <w:rtl/>
          <w:lang w:bidi="fa-IR"/>
        </w:rPr>
        <w:t xml:space="preserve"> و اجرا خواهد ش</w:t>
      </w:r>
      <w:r w:rsidR="00D30256" w:rsidRPr="00B47843">
        <w:rPr>
          <w:rFonts w:hint="cs"/>
          <w:rtl/>
          <w:lang w:bidi="fa-IR"/>
        </w:rPr>
        <w:t>د.»</w:t>
      </w:r>
    </w:p>
    <w:p w:rsidR="00D30256" w:rsidRPr="00B47843" w:rsidRDefault="00D30256" w:rsidP="004C2DA3">
      <w:pPr>
        <w:bidi/>
        <w:ind w:firstLine="360"/>
        <w:jc w:val="mediumKashida"/>
        <w:rPr>
          <w:rtl/>
          <w:lang w:bidi="fa-IR"/>
        </w:rPr>
      </w:pPr>
      <w:r w:rsidRPr="00B47843">
        <w:rPr>
          <w:rFonts w:hint="cs"/>
          <w:rtl/>
          <w:lang w:bidi="fa-IR"/>
        </w:rPr>
        <w:t xml:space="preserve">در ادامه برای از بین بردن هرگونه تردید در مورد نیاز به </w:t>
      </w:r>
      <w:r w:rsidR="00117407" w:rsidRPr="00B47843">
        <w:rPr>
          <w:rFonts w:hint="cs"/>
          <w:rtl/>
          <w:lang w:bidi="fa-IR"/>
        </w:rPr>
        <w:t>تمیز</w:t>
      </w:r>
      <w:r w:rsidRPr="00B47843">
        <w:rPr>
          <w:rFonts w:hint="cs"/>
          <w:rtl/>
          <w:lang w:bidi="fa-IR"/>
        </w:rPr>
        <w:t xml:space="preserve"> بین شناسایی و اجرا، کنوانسیون مزبور در بند دو از ماده یک با استفاده از حرف ربط «یا» بین این دو اصطلاح، بیان می</w:t>
      </w:r>
      <w:r w:rsidR="00B53536">
        <w:rPr>
          <w:rFonts w:hint="cs"/>
          <w:rtl/>
          <w:lang w:bidi="fa-IR"/>
        </w:rPr>
        <w:t>‌</w:t>
      </w:r>
      <w:r w:rsidRPr="00B47843">
        <w:rPr>
          <w:rFonts w:hint="cs"/>
          <w:rtl/>
          <w:lang w:bidi="fa-IR"/>
        </w:rPr>
        <w:t>دارد:</w:t>
      </w:r>
    </w:p>
    <w:p w:rsidR="00D30256" w:rsidRPr="00B47843" w:rsidRDefault="00D30256" w:rsidP="004C2DA3">
      <w:pPr>
        <w:bidi/>
        <w:ind w:firstLine="360"/>
        <w:jc w:val="mediumKashida"/>
        <w:rPr>
          <w:rtl/>
          <w:lang w:bidi="fa-IR"/>
        </w:rPr>
      </w:pPr>
      <w:r w:rsidRPr="00B47843">
        <w:rPr>
          <w:rFonts w:hint="cs"/>
          <w:rtl/>
          <w:lang w:bidi="fa-IR"/>
        </w:rPr>
        <w:t>«جهت تحصیل شناسایی یا اجرا...»</w:t>
      </w:r>
    </w:p>
    <w:p w:rsidR="00215EC5" w:rsidRPr="00B47843" w:rsidRDefault="00EB5455" w:rsidP="004C2DA3">
      <w:pPr>
        <w:bidi/>
        <w:ind w:firstLine="360"/>
        <w:jc w:val="mediumKashida"/>
        <w:rPr>
          <w:rtl/>
          <w:lang w:bidi="fa-IR"/>
        </w:rPr>
      </w:pPr>
      <w:r w:rsidRPr="00B47843">
        <w:rPr>
          <w:rFonts w:hint="cs"/>
          <w:rtl/>
          <w:lang w:bidi="fa-IR"/>
        </w:rPr>
        <w:t>همچنین در بند یک ماده یک کنوانسیون 1958 نیویورک راجع به شناسایی و اجرای احکام داوری تجاری بین</w:t>
      </w:r>
      <w:r w:rsidRPr="00B47843">
        <w:rPr>
          <w:rtl/>
          <w:lang w:bidi="fa-IR"/>
        </w:rPr>
        <w:softHyphen/>
      </w:r>
      <w:r w:rsidRPr="00B47843">
        <w:rPr>
          <w:rFonts w:hint="cs"/>
          <w:rtl/>
          <w:lang w:bidi="fa-IR"/>
        </w:rPr>
        <w:t>المللی نیز آمده است:</w:t>
      </w:r>
    </w:p>
    <w:p w:rsidR="00EB5455" w:rsidRPr="00B47843" w:rsidRDefault="00EB5455" w:rsidP="004C2DA3">
      <w:pPr>
        <w:bidi/>
        <w:ind w:firstLine="360"/>
        <w:jc w:val="mediumKashida"/>
        <w:rPr>
          <w:rtl/>
          <w:lang w:bidi="fa-IR"/>
        </w:rPr>
      </w:pPr>
      <w:r w:rsidRPr="00B47843">
        <w:rPr>
          <w:rFonts w:hint="cs"/>
          <w:rtl/>
          <w:lang w:bidi="fa-IR"/>
        </w:rPr>
        <w:t>«این کنوانسیون نسبت به شناسایی و اجرای آرای صادره در سرزمین کشوری غیر از کشور محل درخواست شناسایی و اجرا اعمال می</w:t>
      </w:r>
      <w:r w:rsidRPr="00B47843">
        <w:rPr>
          <w:rtl/>
          <w:lang w:bidi="fa-IR"/>
        </w:rPr>
        <w:softHyphen/>
      </w:r>
      <w:r w:rsidRPr="00B47843">
        <w:rPr>
          <w:rFonts w:hint="cs"/>
          <w:rtl/>
          <w:lang w:bidi="fa-IR"/>
        </w:rPr>
        <w:t>شود.»</w:t>
      </w:r>
    </w:p>
    <w:p w:rsidR="00EB5455" w:rsidRPr="00B47843" w:rsidRDefault="00081590" w:rsidP="004C2DA3">
      <w:pPr>
        <w:bidi/>
        <w:ind w:firstLine="360"/>
        <w:jc w:val="mediumKashida"/>
        <w:rPr>
          <w:rtl/>
          <w:lang w:bidi="fa-IR"/>
        </w:rPr>
      </w:pPr>
      <w:r w:rsidRPr="00B47843">
        <w:rPr>
          <w:rFonts w:hint="cs"/>
          <w:rtl/>
          <w:lang w:bidi="fa-IR"/>
        </w:rPr>
        <w:t>در ماده سه کنوانسیون مزبور نیز مقرر شده است:</w:t>
      </w:r>
    </w:p>
    <w:p w:rsidR="00081590" w:rsidRPr="00B47843" w:rsidRDefault="00081590" w:rsidP="004C2DA3">
      <w:pPr>
        <w:bidi/>
        <w:ind w:firstLine="360"/>
        <w:jc w:val="mediumKashida"/>
        <w:rPr>
          <w:rtl/>
          <w:lang w:bidi="fa-IR"/>
        </w:rPr>
      </w:pPr>
      <w:r w:rsidRPr="00B47843">
        <w:rPr>
          <w:rFonts w:hint="cs"/>
          <w:rtl/>
          <w:lang w:bidi="fa-IR"/>
        </w:rPr>
        <w:t>«هر کشور متعاهد باید آرای داوری را الزام</w:t>
      </w:r>
      <w:r w:rsidR="00B53536">
        <w:rPr>
          <w:rFonts w:hint="cs"/>
          <w:rtl/>
          <w:lang w:bidi="fa-IR"/>
        </w:rPr>
        <w:t>‌</w:t>
      </w:r>
      <w:r w:rsidRPr="00B47843">
        <w:rPr>
          <w:rFonts w:hint="cs"/>
          <w:rtl/>
          <w:lang w:bidi="fa-IR"/>
        </w:rPr>
        <w:t>آور بشناسد...»</w:t>
      </w:r>
    </w:p>
    <w:p w:rsidR="00081590" w:rsidRPr="00B47843" w:rsidRDefault="00081590" w:rsidP="004C2DA3">
      <w:pPr>
        <w:bidi/>
        <w:ind w:firstLine="360"/>
        <w:jc w:val="mediumKashida"/>
        <w:rPr>
          <w:rtl/>
          <w:lang w:bidi="fa-IR"/>
        </w:rPr>
      </w:pPr>
      <w:r w:rsidRPr="00B47843">
        <w:rPr>
          <w:rFonts w:hint="cs"/>
          <w:rtl/>
          <w:lang w:bidi="fa-IR"/>
        </w:rPr>
        <w:t>نه تنها در بند یک ماده یک و سه کنوانسیون بلکه در سراسر آن مانند بند سه ماده یک، بند یک ماده چهار و بندهای یک و دو از ماده پنج، مفهوم شناسایی در کنار اجرا ذکر شده است</w:t>
      </w:r>
      <w:r w:rsidR="00BB332A" w:rsidRPr="00B47843">
        <w:rPr>
          <w:rFonts w:hint="cs"/>
          <w:rtl/>
          <w:lang w:bidi="fa-IR"/>
        </w:rPr>
        <w:t xml:space="preserve">. تنها استثناء، ماده 6 کنوانسیون است که بر اساس متن آن، فقط تصمیم به اجرای رأی (نه تصمیم به شناسایی رأی) در صورت در جریان بودن </w:t>
      </w:r>
      <w:r w:rsidR="00BB332A" w:rsidRPr="00B47843">
        <w:rPr>
          <w:rFonts w:hint="cs"/>
          <w:rtl/>
          <w:lang w:bidi="fa-IR"/>
        </w:rPr>
        <w:lastRenderedPageBreak/>
        <w:t>درخواست تعلیق یا ابطال آن در کشور مبدأ، قابل توقیف است. بدین ترتیب در موارد دیگر با مسأله شناسایی</w:t>
      </w:r>
      <w:r w:rsidR="00576019" w:rsidRPr="00B47843">
        <w:rPr>
          <w:rFonts w:hint="cs"/>
          <w:rtl/>
          <w:lang w:bidi="fa-IR"/>
        </w:rPr>
        <w:t xml:space="preserve"> و اجرا بطور یکسان رفتار شده است.</w:t>
      </w:r>
      <w:r w:rsidR="00576019" w:rsidRPr="00B47843">
        <w:rPr>
          <w:rStyle w:val="FootnoteReference"/>
          <w:rtl/>
          <w:lang w:bidi="fa-IR"/>
        </w:rPr>
        <w:footnoteReference w:id="3"/>
      </w:r>
    </w:p>
    <w:p w:rsidR="008B79CE" w:rsidRPr="00B47843" w:rsidRDefault="008B79CE" w:rsidP="004C2DA3">
      <w:pPr>
        <w:bidi/>
        <w:ind w:firstLine="360"/>
        <w:jc w:val="mediumKashida"/>
        <w:rPr>
          <w:rtl/>
          <w:lang w:bidi="fa-IR"/>
        </w:rPr>
      </w:pPr>
      <w:r w:rsidRPr="00B47843">
        <w:rPr>
          <w:rFonts w:hint="cs"/>
          <w:rtl/>
          <w:lang w:bidi="fa-IR"/>
        </w:rPr>
        <w:t>مطابق بند یک ماده 54 کنوانسیون واشنگتن 1965 راجع به حل و فصل اختلافات سرمایه</w:t>
      </w:r>
      <w:r w:rsidR="00B53536">
        <w:rPr>
          <w:rFonts w:hint="cs"/>
          <w:rtl/>
          <w:lang w:bidi="fa-IR"/>
        </w:rPr>
        <w:t>‌</w:t>
      </w:r>
      <w:r w:rsidRPr="00B47843">
        <w:rPr>
          <w:rFonts w:hint="cs"/>
          <w:rtl/>
          <w:lang w:bidi="fa-IR"/>
        </w:rPr>
        <w:t>گذاری بین دولتها و اتباع دول دیگر، هر دولت متعاهد باید رأی صادره از مرکز را الزام</w:t>
      </w:r>
      <w:r w:rsidR="00B53536">
        <w:rPr>
          <w:rFonts w:hint="cs"/>
          <w:rtl/>
          <w:lang w:bidi="fa-IR"/>
        </w:rPr>
        <w:t>‌</w:t>
      </w:r>
      <w:r w:rsidRPr="00B47843">
        <w:rPr>
          <w:rFonts w:hint="cs"/>
          <w:rtl/>
          <w:lang w:bidi="fa-IR"/>
        </w:rPr>
        <w:t>آور بشناسد و تعهدات پولی تحمیل شده به وسیله آن رأی را مانند حکم نهایی دادگاههای همان کشور اجرا کند.</w:t>
      </w:r>
    </w:p>
    <w:p w:rsidR="008B79CE" w:rsidRPr="00B47843" w:rsidRDefault="008B79CE" w:rsidP="004C2DA3">
      <w:pPr>
        <w:bidi/>
        <w:ind w:firstLine="360"/>
        <w:jc w:val="mediumKashida"/>
        <w:rPr>
          <w:rtl/>
          <w:lang w:bidi="fa-IR"/>
        </w:rPr>
      </w:pPr>
      <w:r w:rsidRPr="00B47843">
        <w:rPr>
          <w:rFonts w:hint="cs"/>
          <w:rtl/>
          <w:lang w:bidi="fa-IR"/>
        </w:rPr>
        <w:t xml:space="preserve">به عقیده برخی نویسندگان، کنوانسیون واشنگتن 1965 قدمی جهت </w:t>
      </w:r>
      <w:r w:rsidR="00117407" w:rsidRPr="00B47843">
        <w:rPr>
          <w:rFonts w:hint="cs"/>
          <w:rtl/>
          <w:lang w:bidi="fa-IR"/>
        </w:rPr>
        <w:t>تمیز</w:t>
      </w:r>
      <w:r w:rsidRPr="00B47843">
        <w:rPr>
          <w:rFonts w:hint="cs"/>
          <w:rtl/>
          <w:lang w:bidi="fa-IR"/>
        </w:rPr>
        <w:t xml:space="preserve"> شناسایی به عنوان یک امر قهری، از </w:t>
      </w:r>
      <w:r w:rsidR="00521F69" w:rsidRPr="00B47843">
        <w:rPr>
          <w:rFonts w:hint="cs"/>
          <w:rtl/>
          <w:lang w:bidi="fa-IR"/>
        </w:rPr>
        <w:t>ا</w:t>
      </w:r>
      <w:r w:rsidRPr="00B47843">
        <w:rPr>
          <w:rFonts w:hint="cs"/>
          <w:rtl/>
          <w:lang w:bidi="fa-IR"/>
        </w:rPr>
        <w:t>جرا -که قهری نمی</w:t>
      </w:r>
      <w:r w:rsidR="00B53536">
        <w:rPr>
          <w:rFonts w:hint="cs"/>
          <w:rtl/>
          <w:lang w:bidi="fa-IR"/>
        </w:rPr>
        <w:t>‌</w:t>
      </w:r>
      <w:r w:rsidRPr="00B47843">
        <w:rPr>
          <w:rFonts w:hint="cs"/>
          <w:rtl/>
          <w:lang w:bidi="fa-IR"/>
        </w:rPr>
        <w:t>باشد- در زمینه آرای داوری مرکز حل اختلافات سرمایه</w:t>
      </w:r>
      <w:r w:rsidR="00B53536">
        <w:rPr>
          <w:rFonts w:hint="cs"/>
          <w:rtl/>
          <w:lang w:bidi="fa-IR"/>
        </w:rPr>
        <w:t>‌</w:t>
      </w:r>
      <w:r w:rsidRPr="00B47843">
        <w:rPr>
          <w:rFonts w:hint="cs"/>
          <w:rtl/>
          <w:lang w:bidi="fa-IR"/>
        </w:rPr>
        <w:t>گذاری، برداشته است.</w:t>
      </w:r>
      <w:r w:rsidRPr="00B47843">
        <w:rPr>
          <w:rStyle w:val="FootnoteReference"/>
          <w:rtl/>
          <w:lang w:bidi="fa-IR"/>
        </w:rPr>
        <w:footnoteReference w:id="4"/>
      </w:r>
    </w:p>
    <w:p w:rsidR="00932F25" w:rsidRPr="00B47843" w:rsidRDefault="00932F25" w:rsidP="004C2DA3">
      <w:pPr>
        <w:bidi/>
        <w:ind w:firstLine="360"/>
        <w:jc w:val="mediumKashida"/>
        <w:rPr>
          <w:rtl/>
          <w:lang w:bidi="fa-IR"/>
        </w:rPr>
      </w:pPr>
      <w:r w:rsidRPr="00B47843">
        <w:rPr>
          <w:rFonts w:hint="cs"/>
          <w:rtl/>
          <w:lang w:bidi="fa-IR"/>
        </w:rPr>
        <w:t>همچنین اشاره به بند یک ماده 35 قانون نمونه داوری آنسیترال که سندی بسیار مهم در زمینه داوری بین</w:t>
      </w:r>
      <w:r w:rsidR="00B53536">
        <w:rPr>
          <w:rFonts w:hint="cs"/>
          <w:rtl/>
          <w:lang w:bidi="fa-IR"/>
        </w:rPr>
        <w:t>‌</w:t>
      </w:r>
      <w:r w:rsidRPr="00B47843">
        <w:rPr>
          <w:rFonts w:hint="cs"/>
          <w:rtl/>
          <w:lang w:bidi="fa-IR"/>
        </w:rPr>
        <w:t>المللی است، خالی از لطف نخواهد بود:</w:t>
      </w:r>
    </w:p>
    <w:p w:rsidR="00F80850" w:rsidRPr="00B47843" w:rsidRDefault="00F80850" w:rsidP="004C2DA3">
      <w:pPr>
        <w:bidi/>
        <w:ind w:firstLine="360"/>
        <w:jc w:val="mediumKashida"/>
        <w:rPr>
          <w:rtl/>
          <w:lang w:bidi="fa-IR"/>
        </w:rPr>
      </w:pPr>
      <w:r w:rsidRPr="00B47843">
        <w:rPr>
          <w:rFonts w:hint="cs"/>
          <w:rtl/>
          <w:lang w:bidi="fa-IR"/>
        </w:rPr>
        <w:t>«رأی داوری صرف نظر از کشوری که در قلمرو آن صادر شده، بایستی لازم</w:t>
      </w:r>
      <w:r w:rsidRPr="00B47843">
        <w:rPr>
          <w:rtl/>
          <w:lang w:bidi="fa-IR"/>
        </w:rPr>
        <w:softHyphen/>
      </w:r>
      <w:r w:rsidRPr="00B47843">
        <w:rPr>
          <w:rFonts w:hint="cs"/>
          <w:rtl/>
          <w:lang w:bidi="fa-IR"/>
        </w:rPr>
        <w:t>الاجرا شناخته شود و در صو</w:t>
      </w:r>
      <w:r w:rsidR="005603E4">
        <w:rPr>
          <w:rFonts w:hint="cs"/>
          <w:rtl/>
          <w:lang w:bidi="fa-IR"/>
        </w:rPr>
        <w:t>رت تقاضای کتبی از دادگاه صلاحیتدار</w:t>
      </w:r>
      <w:r w:rsidRPr="00B47843">
        <w:rPr>
          <w:rFonts w:hint="cs"/>
          <w:rtl/>
          <w:lang w:bidi="fa-IR"/>
        </w:rPr>
        <w:t>، با رعایت مفاد این ماده و ماده 36 قانون حاضر، به مورد اجرا گذارده خواهد شد.»</w:t>
      </w:r>
    </w:p>
    <w:p w:rsidR="00F80850" w:rsidRPr="00B47843" w:rsidRDefault="00F80850" w:rsidP="004C2DA3">
      <w:pPr>
        <w:bidi/>
        <w:ind w:firstLine="360"/>
        <w:jc w:val="mediumKashida"/>
        <w:rPr>
          <w:rtl/>
          <w:lang w:bidi="fa-IR"/>
        </w:rPr>
      </w:pPr>
      <w:r w:rsidRPr="00B47843">
        <w:rPr>
          <w:rFonts w:hint="cs"/>
          <w:rtl/>
          <w:lang w:bidi="fa-IR"/>
        </w:rPr>
        <w:t>سپس در ماده 36 اعلام می</w:t>
      </w:r>
      <w:r w:rsidR="00B53536">
        <w:rPr>
          <w:rFonts w:hint="cs"/>
          <w:rtl/>
          <w:lang w:bidi="fa-IR"/>
        </w:rPr>
        <w:t>‌</w:t>
      </w:r>
      <w:r w:rsidRPr="00B47843">
        <w:rPr>
          <w:rFonts w:hint="cs"/>
          <w:rtl/>
          <w:lang w:bidi="fa-IR"/>
        </w:rPr>
        <w:t>شود:</w:t>
      </w:r>
    </w:p>
    <w:p w:rsidR="00F80850" w:rsidRPr="00B47843" w:rsidRDefault="00F80850" w:rsidP="004C2DA3">
      <w:pPr>
        <w:bidi/>
        <w:ind w:firstLine="360"/>
        <w:jc w:val="mediumKashida"/>
        <w:rPr>
          <w:rtl/>
          <w:lang w:bidi="fa-IR"/>
        </w:rPr>
      </w:pPr>
      <w:r w:rsidRPr="00B47843">
        <w:rPr>
          <w:rFonts w:hint="cs"/>
          <w:rtl/>
          <w:lang w:bidi="fa-IR"/>
        </w:rPr>
        <w:t>«شناسایی یا اجرای رأی داوری را، صرف نظر از کشور محل صدور، صرفاً در موارد زیر می</w:t>
      </w:r>
      <w:r w:rsidR="00B53536">
        <w:rPr>
          <w:rFonts w:hint="cs"/>
          <w:rtl/>
          <w:lang w:bidi="fa-IR"/>
        </w:rPr>
        <w:t>‌</w:t>
      </w:r>
      <w:r w:rsidRPr="00B47843">
        <w:rPr>
          <w:rFonts w:hint="cs"/>
          <w:rtl/>
          <w:lang w:bidi="fa-IR"/>
        </w:rPr>
        <w:t>توان رد کرد...»</w:t>
      </w:r>
    </w:p>
    <w:p w:rsidR="00C43A08" w:rsidRPr="00B47843" w:rsidRDefault="009F1288" w:rsidP="00652FAE">
      <w:pPr>
        <w:bidi/>
        <w:ind w:firstLine="360"/>
        <w:jc w:val="mediumKashida"/>
        <w:rPr>
          <w:rtl/>
          <w:lang w:bidi="fa-IR"/>
        </w:rPr>
      </w:pPr>
      <w:r w:rsidRPr="00B47843">
        <w:rPr>
          <w:rFonts w:hint="cs"/>
          <w:rtl/>
          <w:lang w:bidi="fa-IR"/>
        </w:rPr>
        <w:lastRenderedPageBreak/>
        <w:t xml:space="preserve">علاوه بر آنچه در مورد لزوم شناسایی رأی داوری در نظام قضایی ملی و همچنین وجود تمایز میان </w:t>
      </w:r>
      <w:r w:rsidR="0056564C" w:rsidRPr="00B47843">
        <w:rPr>
          <w:rFonts w:hint="cs"/>
          <w:rtl/>
          <w:lang w:bidi="fa-IR"/>
        </w:rPr>
        <w:t>این مفهوم</w:t>
      </w:r>
      <w:r w:rsidRPr="00B47843">
        <w:rPr>
          <w:rFonts w:hint="cs"/>
          <w:rtl/>
          <w:lang w:bidi="fa-IR"/>
        </w:rPr>
        <w:t xml:space="preserve"> و اجرا گفته شد، توضیح این نکته نیز در راستای درک افتراق میان این دو</w:t>
      </w:r>
      <w:r w:rsidR="0056564C" w:rsidRPr="00B47843">
        <w:rPr>
          <w:rFonts w:hint="cs"/>
          <w:rtl/>
          <w:lang w:bidi="fa-IR"/>
        </w:rPr>
        <w:t xml:space="preserve"> موضوع</w:t>
      </w:r>
      <w:r w:rsidRPr="00B47843">
        <w:rPr>
          <w:rFonts w:hint="cs"/>
          <w:rtl/>
          <w:lang w:bidi="fa-IR"/>
        </w:rPr>
        <w:t xml:space="preserve"> بسیار مهم است؛ گاهی ممکن است رأی داوری بین</w:t>
      </w:r>
      <w:r w:rsidR="00633341">
        <w:rPr>
          <w:rFonts w:hint="cs"/>
          <w:rtl/>
          <w:lang w:bidi="fa-IR"/>
        </w:rPr>
        <w:t>‌</w:t>
      </w:r>
      <w:r w:rsidRPr="00B47843">
        <w:rPr>
          <w:rFonts w:hint="cs"/>
          <w:rtl/>
          <w:lang w:bidi="fa-IR"/>
        </w:rPr>
        <w:t xml:space="preserve">المللی در مراجع قضایی ملی معتبر شناخته شده، </w:t>
      </w:r>
      <w:r w:rsidR="00D42801" w:rsidRPr="00B47843">
        <w:rPr>
          <w:rFonts w:hint="cs"/>
          <w:rtl/>
          <w:lang w:bidi="fa-IR"/>
        </w:rPr>
        <w:t>ولی</w:t>
      </w:r>
      <w:r w:rsidRPr="00B47843">
        <w:rPr>
          <w:rFonts w:hint="cs"/>
          <w:rtl/>
          <w:lang w:bidi="fa-IR"/>
        </w:rPr>
        <w:t xml:space="preserve"> در مقام تصمیم برای صدور دستور اجرا، با موانعی مواجه گردد</w:t>
      </w:r>
      <w:r w:rsidR="00C43A08" w:rsidRPr="00B47843">
        <w:rPr>
          <w:rFonts w:hint="cs"/>
          <w:rtl/>
          <w:lang w:bidi="fa-IR"/>
        </w:rPr>
        <w:t xml:space="preserve">. </w:t>
      </w:r>
      <w:r w:rsidR="00D42801" w:rsidRPr="00B47843">
        <w:rPr>
          <w:rFonts w:hint="cs"/>
          <w:rtl/>
          <w:lang w:bidi="fa-IR"/>
        </w:rPr>
        <w:t>اما در صورت</w:t>
      </w:r>
      <w:r w:rsidR="00C43A08" w:rsidRPr="00B47843">
        <w:rPr>
          <w:rFonts w:hint="cs"/>
          <w:rtl/>
          <w:lang w:bidi="fa-IR"/>
        </w:rPr>
        <w:t xml:space="preserve"> </w:t>
      </w:r>
      <w:r w:rsidR="00D42801" w:rsidRPr="00B47843">
        <w:rPr>
          <w:rFonts w:hint="cs"/>
          <w:rtl/>
          <w:lang w:bidi="fa-IR"/>
        </w:rPr>
        <w:t>وحدت معنای این دو مفهوم</w:t>
      </w:r>
      <w:r w:rsidR="00652FAE">
        <w:rPr>
          <w:rFonts w:hint="cs"/>
          <w:rtl/>
          <w:lang w:bidi="fa-IR"/>
        </w:rPr>
        <w:t xml:space="preserve">، چنین وضعیتی امکانپذیر نخواهد </w:t>
      </w:r>
      <w:r w:rsidR="00D42801" w:rsidRPr="00B47843">
        <w:rPr>
          <w:rFonts w:hint="cs"/>
          <w:rtl/>
          <w:lang w:bidi="fa-IR"/>
        </w:rPr>
        <w:t>بود بلکه تنها در فرض تمایز آنها است که امکان چنین وضعیتی وجود خواهد داشت.</w:t>
      </w:r>
    </w:p>
    <w:p w:rsidR="00A07779" w:rsidRPr="00B47843" w:rsidRDefault="00A07779" w:rsidP="004C2DA3">
      <w:pPr>
        <w:bidi/>
        <w:ind w:firstLine="360"/>
        <w:jc w:val="mediumKashida"/>
        <w:rPr>
          <w:rtl/>
          <w:lang w:bidi="fa-IR"/>
        </w:rPr>
      </w:pPr>
      <w:r w:rsidRPr="00B47843">
        <w:rPr>
          <w:rFonts w:hint="cs"/>
          <w:rtl/>
          <w:lang w:bidi="fa-IR"/>
        </w:rPr>
        <w:t>معتبر شناختن حکم</w:t>
      </w:r>
      <w:r w:rsidR="0056564C" w:rsidRPr="00B47843">
        <w:rPr>
          <w:rFonts w:hint="cs"/>
          <w:rtl/>
          <w:lang w:bidi="fa-IR"/>
        </w:rPr>
        <w:t xml:space="preserve"> اگرچه برای رسیدگی به درخواست صدور دستور اجرا امری ضروری است، اما </w:t>
      </w:r>
      <w:r w:rsidRPr="00B47843">
        <w:rPr>
          <w:rFonts w:hint="cs"/>
          <w:rtl/>
          <w:lang w:bidi="fa-IR"/>
        </w:rPr>
        <w:t>الزاماً اجرا نشدن رأی داوری به دلیل عدم شناسایی رأی نخواهد بود، بلکه ممکن است علی</w:t>
      </w:r>
      <w:r w:rsidR="00633341">
        <w:rPr>
          <w:rFonts w:hint="cs"/>
          <w:rtl/>
          <w:lang w:bidi="fa-IR"/>
        </w:rPr>
        <w:t>‌</w:t>
      </w:r>
      <w:r w:rsidRPr="00B47843">
        <w:rPr>
          <w:rFonts w:hint="cs"/>
          <w:rtl/>
          <w:lang w:bidi="fa-IR"/>
        </w:rPr>
        <w:t>رغم معتبر شناخته شدن، دلیل دیگری مانع از اجرای آن شود، که به این دلایل در مباحث پیش رو، اشاره خواهد شد.</w:t>
      </w:r>
    </w:p>
    <w:p w:rsidR="007F06E1" w:rsidRPr="00B47843" w:rsidRDefault="007F06E1" w:rsidP="004C2DA3">
      <w:pPr>
        <w:bidi/>
        <w:ind w:firstLine="360"/>
        <w:jc w:val="mediumKashida"/>
        <w:rPr>
          <w:rtl/>
          <w:lang w:bidi="fa-IR"/>
        </w:rPr>
      </w:pPr>
    </w:p>
    <w:p w:rsidR="0056564C" w:rsidRDefault="0056564C" w:rsidP="004C2DA3">
      <w:pPr>
        <w:pStyle w:val="Heading2"/>
        <w:bidi/>
        <w:ind w:firstLine="360"/>
        <w:jc w:val="center"/>
        <w:rPr>
          <w:lang w:bidi="fa-IR"/>
        </w:rPr>
      </w:pPr>
      <w:bookmarkStart w:id="6" w:name="_Toc397212633"/>
      <w:r w:rsidRPr="000A34A6">
        <w:rPr>
          <w:rFonts w:hint="cs"/>
          <w:rtl/>
          <w:lang w:bidi="fa-IR"/>
        </w:rPr>
        <w:t xml:space="preserve">گفتار دوم: </w:t>
      </w:r>
      <w:r w:rsidR="00A07779" w:rsidRPr="000A34A6">
        <w:rPr>
          <w:rFonts w:hint="cs"/>
          <w:rtl/>
          <w:lang w:bidi="fa-IR"/>
        </w:rPr>
        <w:t>اجرای احکام داوری بین</w:t>
      </w:r>
      <w:r w:rsidR="005603E4" w:rsidRPr="000A34A6">
        <w:rPr>
          <w:rFonts w:hint="cs"/>
          <w:rtl/>
          <w:lang w:bidi="fa-IR"/>
        </w:rPr>
        <w:t>‌</w:t>
      </w:r>
      <w:r w:rsidR="00A07779" w:rsidRPr="000A34A6">
        <w:rPr>
          <w:rFonts w:hint="cs"/>
          <w:rtl/>
          <w:lang w:bidi="fa-IR"/>
        </w:rPr>
        <w:t>المللی</w:t>
      </w:r>
      <w:bookmarkEnd w:id="6"/>
    </w:p>
    <w:p w:rsidR="001E7E1A" w:rsidRPr="001E7E1A" w:rsidRDefault="001E7E1A" w:rsidP="001E7E1A">
      <w:pPr>
        <w:bidi/>
        <w:rPr>
          <w:rtl/>
          <w:lang w:bidi="fa-IR"/>
        </w:rPr>
      </w:pPr>
    </w:p>
    <w:p w:rsidR="00A07779" w:rsidRPr="00B47843" w:rsidRDefault="00A07779" w:rsidP="004C2DA3">
      <w:pPr>
        <w:bidi/>
        <w:ind w:firstLine="360"/>
        <w:jc w:val="mediumKashida"/>
        <w:rPr>
          <w:rtl/>
          <w:lang w:bidi="fa-IR"/>
        </w:rPr>
      </w:pPr>
      <w:r w:rsidRPr="00B47843">
        <w:rPr>
          <w:rFonts w:hint="cs"/>
          <w:rtl/>
          <w:lang w:bidi="fa-IR"/>
        </w:rPr>
        <w:t>اجرای رأی داوری در نگاه اول، پدیده ای مشابه با اجرای احکام قضایی به نظر می</w:t>
      </w:r>
      <w:r w:rsidR="00633341">
        <w:rPr>
          <w:rFonts w:hint="cs"/>
          <w:rtl/>
          <w:lang w:bidi="fa-IR"/>
        </w:rPr>
        <w:t>‌</w:t>
      </w:r>
      <w:r w:rsidRPr="00B47843">
        <w:rPr>
          <w:rFonts w:hint="cs"/>
          <w:rtl/>
          <w:lang w:bidi="fa-IR"/>
        </w:rPr>
        <w:t>رسد. سند قضایی که نقطه پایان بر دعوی می</w:t>
      </w:r>
      <w:r w:rsidR="005603E4">
        <w:rPr>
          <w:rFonts w:hint="cs"/>
          <w:rtl/>
          <w:lang w:bidi="fa-IR"/>
        </w:rPr>
        <w:t>‌</w:t>
      </w:r>
      <w:r w:rsidRPr="00B47843">
        <w:rPr>
          <w:rFonts w:hint="cs"/>
          <w:rtl/>
          <w:lang w:bidi="fa-IR"/>
        </w:rPr>
        <w:t>گذارد؛ حال، محکوم علیه</w:t>
      </w:r>
      <w:r w:rsidR="00DF0359" w:rsidRPr="00B47843">
        <w:rPr>
          <w:rFonts w:hint="cs"/>
          <w:rtl/>
          <w:lang w:bidi="fa-IR"/>
        </w:rPr>
        <w:t xml:space="preserve"> یا به اختیار اقدام به اجرای حکم می</w:t>
      </w:r>
      <w:r w:rsidR="005603E4">
        <w:rPr>
          <w:rFonts w:hint="cs"/>
          <w:rtl/>
          <w:lang w:bidi="fa-IR"/>
        </w:rPr>
        <w:t>‌</w:t>
      </w:r>
      <w:r w:rsidR="00DF0359" w:rsidRPr="00B47843">
        <w:rPr>
          <w:rFonts w:hint="cs"/>
          <w:rtl/>
          <w:lang w:bidi="fa-IR"/>
        </w:rPr>
        <w:t>کند یا توسط قوای عمومی مجبور بدین کار می</w:t>
      </w:r>
      <w:r w:rsidR="005603E4">
        <w:rPr>
          <w:rFonts w:hint="cs"/>
          <w:rtl/>
          <w:lang w:bidi="fa-IR"/>
        </w:rPr>
        <w:t>‌</w:t>
      </w:r>
      <w:r w:rsidR="00DF0359" w:rsidRPr="00B47843">
        <w:rPr>
          <w:rFonts w:hint="cs"/>
          <w:rtl/>
          <w:lang w:bidi="fa-IR"/>
        </w:rPr>
        <w:t>شود.</w:t>
      </w:r>
    </w:p>
    <w:p w:rsidR="00DF0359" w:rsidRPr="00B47843" w:rsidRDefault="00DF0359" w:rsidP="004C2DA3">
      <w:pPr>
        <w:bidi/>
        <w:ind w:firstLine="360"/>
        <w:jc w:val="mediumKashida"/>
        <w:rPr>
          <w:rtl/>
          <w:lang w:bidi="fa-IR"/>
        </w:rPr>
      </w:pPr>
      <w:r w:rsidRPr="00B47843">
        <w:rPr>
          <w:rFonts w:hint="cs"/>
          <w:rtl/>
          <w:lang w:bidi="fa-IR"/>
        </w:rPr>
        <w:t>با این وصف دو تفاوت اساسی رأی داور را از حکم دادگاه متمایز می</w:t>
      </w:r>
      <w:r w:rsidR="00633341">
        <w:rPr>
          <w:rFonts w:hint="cs"/>
          <w:rtl/>
          <w:lang w:bidi="fa-IR"/>
        </w:rPr>
        <w:t>‌</w:t>
      </w:r>
      <w:r w:rsidRPr="00B47843">
        <w:rPr>
          <w:rFonts w:hint="cs"/>
          <w:rtl/>
          <w:lang w:bidi="fa-IR"/>
        </w:rPr>
        <w:t>سازد: اولاً، در حالی که حکم دادگاه که از طرف دولت صادر</w:t>
      </w:r>
      <w:r w:rsidR="0063002F" w:rsidRPr="00B47843">
        <w:rPr>
          <w:rFonts w:hint="cs"/>
          <w:rtl/>
          <w:lang w:bidi="fa-IR"/>
        </w:rPr>
        <w:t xml:space="preserve"> شده، لازم</w:t>
      </w:r>
      <w:r w:rsidR="00633341">
        <w:rPr>
          <w:rFonts w:hint="cs"/>
          <w:rtl/>
          <w:lang w:bidi="fa-IR"/>
        </w:rPr>
        <w:t>‌</w:t>
      </w:r>
      <w:r w:rsidR="0063002F" w:rsidRPr="00B47843">
        <w:rPr>
          <w:rFonts w:hint="cs"/>
          <w:rtl/>
          <w:lang w:bidi="fa-IR"/>
        </w:rPr>
        <w:t>الاجراست و همان</w:t>
      </w:r>
      <w:r w:rsidR="00633341">
        <w:rPr>
          <w:rFonts w:hint="cs"/>
          <w:rtl/>
          <w:lang w:bidi="fa-IR"/>
        </w:rPr>
        <w:t>‌</w:t>
      </w:r>
      <w:r w:rsidR="0063002F" w:rsidRPr="00B47843">
        <w:rPr>
          <w:rFonts w:hint="cs"/>
          <w:rtl/>
          <w:lang w:bidi="fa-IR"/>
        </w:rPr>
        <w:t>گونه توسط قوای عمومی به اجرا در می</w:t>
      </w:r>
      <w:r w:rsidR="00633341">
        <w:rPr>
          <w:rFonts w:hint="cs"/>
          <w:rtl/>
          <w:lang w:bidi="fa-IR"/>
        </w:rPr>
        <w:t>‌</w:t>
      </w:r>
      <w:r w:rsidR="0063002F" w:rsidRPr="00B47843">
        <w:rPr>
          <w:rFonts w:hint="cs"/>
          <w:rtl/>
          <w:lang w:bidi="fa-IR"/>
        </w:rPr>
        <w:t xml:space="preserve">آید، رأی داوری حاصل کار یک یا چند شخص </w:t>
      </w:r>
      <w:r w:rsidR="0063002F" w:rsidRPr="00B47843">
        <w:rPr>
          <w:rFonts w:hint="cs"/>
          <w:rtl/>
          <w:lang w:bidi="fa-IR"/>
        </w:rPr>
        <w:lastRenderedPageBreak/>
        <w:t xml:space="preserve">تابع حقوق خصوصی </w:t>
      </w:r>
      <w:r w:rsidR="00500E6F" w:rsidRPr="00B47843">
        <w:rPr>
          <w:rFonts w:hint="cs"/>
          <w:rtl/>
          <w:lang w:bidi="fa-IR"/>
        </w:rPr>
        <w:t>است و لذا سند خصوصی به حساب می</w:t>
      </w:r>
      <w:r w:rsidR="00633341">
        <w:rPr>
          <w:rFonts w:hint="cs"/>
          <w:rtl/>
          <w:lang w:bidi="fa-IR"/>
        </w:rPr>
        <w:t>‌</w:t>
      </w:r>
      <w:r w:rsidR="00500E6F" w:rsidRPr="00B47843">
        <w:rPr>
          <w:rFonts w:hint="cs"/>
          <w:rtl/>
          <w:lang w:bidi="fa-IR"/>
        </w:rPr>
        <w:t xml:space="preserve">آید که تنها پس از کنترل قضایی و اداری، </w:t>
      </w:r>
      <w:r w:rsidR="005603E4">
        <w:rPr>
          <w:rFonts w:hint="cs"/>
          <w:rtl/>
          <w:lang w:bidi="fa-IR"/>
        </w:rPr>
        <w:t>به اجبار</w:t>
      </w:r>
      <w:r w:rsidR="00667AD9">
        <w:rPr>
          <w:rFonts w:hint="cs"/>
          <w:rtl/>
          <w:lang w:bidi="fa-IR"/>
        </w:rPr>
        <w:t xml:space="preserve"> </w:t>
      </w:r>
      <w:r w:rsidR="00500E6F" w:rsidRPr="00B47843">
        <w:rPr>
          <w:rFonts w:hint="cs"/>
          <w:rtl/>
          <w:lang w:bidi="fa-IR"/>
        </w:rPr>
        <w:t>قابل اجراست و به عبارت دیگر، لازم</w:t>
      </w:r>
      <w:r w:rsidR="00633341">
        <w:rPr>
          <w:rFonts w:hint="cs"/>
          <w:rtl/>
          <w:lang w:bidi="fa-IR"/>
        </w:rPr>
        <w:t>‌</w:t>
      </w:r>
      <w:r w:rsidR="00500E6F" w:rsidRPr="00B47843">
        <w:rPr>
          <w:rFonts w:hint="cs"/>
          <w:rtl/>
          <w:lang w:bidi="fa-IR"/>
        </w:rPr>
        <w:t>الاجرا می</w:t>
      </w:r>
      <w:r w:rsidR="00633341">
        <w:rPr>
          <w:rFonts w:hint="cs"/>
          <w:rtl/>
          <w:lang w:bidi="fa-IR"/>
        </w:rPr>
        <w:t>‌</w:t>
      </w:r>
      <w:r w:rsidR="00500E6F" w:rsidRPr="00B47843">
        <w:rPr>
          <w:rFonts w:hint="cs"/>
          <w:rtl/>
          <w:lang w:bidi="fa-IR"/>
        </w:rPr>
        <w:t>گردد. ثانیاً، بر خلاف حکم قطعی</w:t>
      </w:r>
      <w:r w:rsidR="00F30DEC" w:rsidRPr="00B47843">
        <w:rPr>
          <w:rFonts w:hint="cs"/>
          <w:rtl/>
          <w:lang w:bidi="fa-IR"/>
        </w:rPr>
        <w:t xml:space="preserve"> و غیر قابل اعتراض دادگاه، رأی قطعی داوری، از آنجا که یک سند خصوصی به حساب می</w:t>
      </w:r>
      <w:r w:rsidR="00633341">
        <w:rPr>
          <w:rFonts w:hint="cs"/>
          <w:rtl/>
          <w:lang w:bidi="fa-IR"/>
        </w:rPr>
        <w:t>‌</w:t>
      </w:r>
      <w:r w:rsidR="00F30DEC" w:rsidRPr="00B47843">
        <w:rPr>
          <w:rFonts w:hint="cs"/>
          <w:rtl/>
          <w:lang w:bidi="fa-IR"/>
        </w:rPr>
        <w:t>آید، همیشه در معرض درخواست ابطال در مقابل دادگاه</w:t>
      </w:r>
      <w:r w:rsidR="00633341">
        <w:rPr>
          <w:rFonts w:hint="cs"/>
          <w:rtl/>
          <w:lang w:bidi="fa-IR"/>
        </w:rPr>
        <w:t>‌</w:t>
      </w:r>
      <w:r w:rsidR="00F30DEC" w:rsidRPr="00B47843">
        <w:rPr>
          <w:rFonts w:hint="cs"/>
          <w:rtl/>
          <w:lang w:bidi="fa-IR"/>
        </w:rPr>
        <w:t>های دولتی قرار دارد.</w:t>
      </w:r>
      <w:r w:rsidR="00F30DEC" w:rsidRPr="00B47843">
        <w:rPr>
          <w:rStyle w:val="FootnoteReference"/>
          <w:rtl/>
          <w:lang w:bidi="fa-IR"/>
        </w:rPr>
        <w:footnoteReference w:id="5"/>
      </w:r>
    </w:p>
    <w:p w:rsidR="00A07779" w:rsidRDefault="00F30DEC" w:rsidP="004C2DA3">
      <w:pPr>
        <w:bidi/>
        <w:ind w:firstLine="360"/>
        <w:jc w:val="mediumKashida"/>
        <w:rPr>
          <w:lang w:bidi="fa-IR"/>
        </w:rPr>
      </w:pPr>
      <w:r w:rsidRPr="00B47843">
        <w:rPr>
          <w:rFonts w:hint="cs"/>
          <w:rtl/>
          <w:lang w:bidi="fa-IR"/>
        </w:rPr>
        <w:t>این دو تفاوت منشأ</w:t>
      </w:r>
      <w:r w:rsidR="000E6780" w:rsidRPr="00B47843">
        <w:rPr>
          <w:rFonts w:hint="cs"/>
          <w:rtl/>
          <w:lang w:bidi="fa-IR"/>
        </w:rPr>
        <w:t xml:space="preserve"> دو جریان رسیدگی قضایی است؛ یکی رسیدگی</w:t>
      </w:r>
      <w:r w:rsidR="00633341">
        <w:rPr>
          <w:rFonts w:hint="cs"/>
          <w:rtl/>
          <w:lang w:bidi="fa-IR"/>
        </w:rPr>
        <w:t>‌</w:t>
      </w:r>
      <w:r w:rsidR="000E6780" w:rsidRPr="00B47843">
        <w:rPr>
          <w:rFonts w:hint="cs"/>
          <w:rtl/>
          <w:lang w:bidi="fa-IR"/>
        </w:rPr>
        <w:t>های مربوط به درخواست اجرای رأی داوری که به صدور اجرایی یا رد آن منتهی می</w:t>
      </w:r>
      <w:r w:rsidR="00633341">
        <w:rPr>
          <w:rFonts w:hint="cs"/>
          <w:rtl/>
          <w:lang w:bidi="fa-IR"/>
        </w:rPr>
        <w:t>‌</w:t>
      </w:r>
      <w:r w:rsidR="000E6780" w:rsidRPr="00B47843">
        <w:rPr>
          <w:rFonts w:hint="cs"/>
          <w:rtl/>
          <w:lang w:bidi="fa-IR"/>
        </w:rPr>
        <w:t>شود، و دیگری رسیدگی</w:t>
      </w:r>
      <w:r w:rsidR="00633341">
        <w:rPr>
          <w:rFonts w:hint="cs"/>
          <w:rtl/>
          <w:lang w:bidi="fa-IR"/>
        </w:rPr>
        <w:t>‌</w:t>
      </w:r>
      <w:r w:rsidR="000E6780" w:rsidRPr="00B47843">
        <w:rPr>
          <w:rFonts w:hint="cs"/>
          <w:rtl/>
          <w:lang w:bidi="fa-IR"/>
        </w:rPr>
        <w:t>های مربوط به درخواست ابطال رأی که ممکن است به ابطال یا تأیید آن ختم شود.</w:t>
      </w:r>
      <w:r w:rsidR="000E6780" w:rsidRPr="00B47843">
        <w:rPr>
          <w:rStyle w:val="FootnoteReference"/>
          <w:rtl/>
          <w:lang w:bidi="fa-IR"/>
        </w:rPr>
        <w:footnoteReference w:id="6"/>
      </w:r>
    </w:p>
    <w:p w:rsidR="001E7E1A" w:rsidRPr="00B47843" w:rsidRDefault="001E7E1A" w:rsidP="001E7E1A">
      <w:pPr>
        <w:bidi/>
        <w:ind w:firstLine="360"/>
        <w:jc w:val="mediumKashida"/>
        <w:rPr>
          <w:rtl/>
          <w:lang w:bidi="fa-IR"/>
        </w:rPr>
      </w:pPr>
    </w:p>
    <w:p w:rsidR="005326FA" w:rsidRPr="001E7E1A" w:rsidRDefault="00EE1516" w:rsidP="000A47F6">
      <w:pPr>
        <w:pStyle w:val="Heading3"/>
      </w:pPr>
      <w:bookmarkStart w:id="7" w:name="_Toc397212634"/>
      <w:r w:rsidRPr="001E7E1A">
        <w:rPr>
          <w:rFonts w:hint="cs"/>
          <w:rtl/>
        </w:rPr>
        <w:t>2-1)</w:t>
      </w:r>
      <w:r w:rsidR="005D1FFF" w:rsidRPr="001E7E1A">
        <w:rPr>
          <w:rFonts w:hint="cs"/>
          <w:rtl/>
        </w:rPr>
        <w:t xml:space="preserve"> </w:t>
      </w:r>
      <w:r w:rsidR="003A10FA" w:rsidRPr="001E7E1A">
        <w:rPr>
          <w:rFonts w:hint="cs"/>
          <w:rtl/>
        </w:rPr>
        <w:t>رژیم</w:t>
      </w:r>
      <w:r w:rsidR="00633341" w:rsidRPr="001E7E1A">
        <w:rPr>
          <w:rFonts w:hint="cs"/>
          <w:rtl/>
        </w:rPr>
        <w:t>‌</w:t>
      </w:r>
      <w:r w:rsidR="003A10FA" w:rsidRPr="001E7E1A">
        <w:rPr>
          <w:rFonts w:hint="cs"/>
          <w:rtl/>
        </w:rPr>
        <w:t>های</w:t>
      </w:r>
      <w:r w:rsidR="00B455B3" w:rsidRPr="001E7E1A">
        <w:rPr>
          <w:rFonts w:hint="cs"/>
          <w:rtl/>
        </w:rPr>
        <w:t xml:space="preserve"> اجرای رأی داوری</w:t>
      </w:r>
      <w:bookmarkEnd w:id="7"/>
    </w:p>
    <w:p w:rsidR="001E7E1A" w:rsidRPr="001E7E1A" w:rsidRDefault="001E7E1A" w:rsidP="001E7E1A">
      <w:pPr>
        <w:rPr>
          <w:rtl/>
          <w:lang w:bidi="fa-IR"/>
        </w:rPr>
      </w:pPr>
    </w:p>
    <w:p w:rsidR="007E08B5" w:rsidRPr="00B47843" w:rsidRDefault="008E6635" w:rsidP="004C2DA3">
      <w:pPr>
        <w:bidi/>
        <w:ind w:firstLine="360"/>
        <w:jc w:val="mediumKashida"/>
        <w:rPr>
          <w:rtl/>
          <w:lang w:bidi="fa-IR"/>
        </w:rPr>
      </w:pPr>
      <w:r w:rsidRPr="00B47843">
        <w:rPr>
          <w:rFonts w:hint="cs"/>
          <w:rtl/>
          <w:lang w:bidi="fa-IR"/>
        </w:rPr>
        <w:t>در خصوص مرحله اجرا</w:t>
      </w:r>
      <w:r w:rsidR="00D145DD" w:rsidRPr="00B47843">
        <w:rPr>
          <w:rFonts w:hint="cs"/>
          <w:rtl/>
          <w:lang w:bidi="fa-IR"/>
        </w:rPr>
        <w:t>، اولین</w:t>
      </w:r>
      <w:r w:rsidR="00D145DD" w:rsidRPr="00B47843">
        <w:rPr>
          <w:rtl/>
          <w:lang w:bidi="fa-IR"/>
        </w:rPr>
        <w:t xml:space="preserve"> </w:t>
      </w:r>
      <w:r w:rsidR="00C217FD" w:rsidRPr="00B47843">
        <w:rPr>
          <w:rFonts w:hint="cs"/>
          <w:rtl/>
          <w:lang w:bidi="fa-IR"/>
        </w:rPr>
        <w:t>پرسش</w:t>
      </w:r>
      <w:r w:rsidR="00D145DD" w:rsidRPr="00B47843">
        <w:rPr>
          <w:rtl/>
          <w:lang w:bidi="fa-IR"/>
        </w:rPr>
        <w:t xml:space="preserve"> </w:t>
      </w:r>
      <w:r w:rsidR="00C217FD" w:rsidRPr="00B47843">
        <w:rPr>
          <w:rFonts w:hint="cs"/>
          <w:rtl/>
          <w:lang w:bidi="fa-IR"/>
        </w:rPr>
        <w:t>قابل طرح</w:t>
      </w:r>
      <w:r w:rsidR="00D145DD" w:rsidRPr="00B47843">
        <w:rPr>
          <w:rtl/>
          <w:lang w:bidi="fa-IR"/>
        </w:rPr>
        <w:t xml:space="preserve"> </w:t>
      </w:r>
      <w:r w:rsidR="00D145DD" w:rsidRPr="00B47843">
        <w:rPr>
          <w:rFonts w:hint="cs"/>
          <w:rtl/>
          <w:lang w:bidi="fa-IR"/>
        </w:rPr>
        <w:t>این</w:t>
      </w:r>
      <w:r w:rsidR="00D145DD" w:rsidRPr="00B47843">
        <w:rPr>
          <w:rtl/>
          <w:lang w:bidi="fa-IR"/>
        </w:rPr>
        <w:t xml:space="preserve"> است که </w:t>
      </w:r>
      <w:r w:rsidR="00555EF7" w:rsidRPr="00B47843">
        <w:rPr>
          <w:rtl/>
          <w:lang w:bidi="fa-IR"/>
        </w:rPr>
        <w:t>محکوم له</w:t>
      </w:r>
      <w:r w:rsidR="00D145DD" w:rsidRPr="00B47843">
        <w:rPr>
          <w:rtl/>
          <w:lang w:bidi="fa-IR"/>
        </w:rPr>
        <w:t xml:space="preserve"> </w:t>
      </w:r>
      <w:r w:rsidR="00D145DD" w:rsidRPr="00B47843">
        <w:rPr>
          <w:rFonts w:hint="cs"/>
          <w:rtl/>
          <w:lang w:bidi="fa-IR"/>
        </w:rPr>
        <w:t>باید</w:t>
      </w:r>
      <w:r w:rsidR="00D145DD" w:rsidRPr="00B47843">
        <w:rPr>
          <w:rtl/>
          <w:lang w:bidi="fa-IR"/>
        </w:rPr>
        <w:t xml:space="preserve"> از چه </w:t>
      </w:r>
      <w:r w:rsidR="00D145DD" w:rsidRPr="00B47843">
        <w:rPr>
          <w:rFonts w:hint="cs"/>
          <w:rtl/>
          <w:lang w:bidi="fa-IR"/>
        </w:rPr>
        <w:t>مرجعی</w:t>
      </w:r>
      <w:r w:rsidR="00D145DD" w:rsidRPr="00B47843">
        <w:rPr>
          <w:rtl/>
          <w:lang w:bidi="fa-IR"/>
        </w:rPr>
        <w:t xml:space="preserve"> درخواست </w:t>
      </w:r>
      <w:r w:rsidR="00D145DD" w:rsidRPr="00B47843">
        <w:rPr>
          <w:rFonts w:hint="cs"/>
          <w:rtl/>
          <w:lang w:bidi="fa-IR"/>
        </w:rPr>
        <w:t>اجرای</w:t>
      </w:r>
      <w:r w:rsidR="00D145DD" w:rsidRPr="00B47843">
        <w:rPr>
          <w:rtl/>
          <w:lang w:bidi="fa-IR"/>
        </w:rPr>
        <w:t xml:space="preserve"> </w:t>
      </w:r>
      <w:r w:rsidR="00D145DD" w:rsidRPr="00B47843">
        <w:rPr>
          <w:rFonts w:hint="cs"/>
          <w:rtl/>
          <w:lang w:bidi="fa-IR"/>
        </w:rPr>
        <w:t>رأی</w:t>
      </w:r>
      <w:r w:rsidR="00D145DD" w:rsidRPr="00B47843">
        <w:rPr>
          <w:rtl/>
          <w:lang w:bidi="fa-IR"/>
        </w:rPr>
        <w:t xml:space="preserve"> بنمايد؟</w:t>
      </w:r>
      <w:r w:rsidRPr="00B47843">
        <w:rPr>
          <w:rFonts w:hint="cs"/>
          <w:rtl/>
          <w:lang w:bidi="fa-IR"/>
        </w:rPr>
        <w:t xml:space="preserve"> </w:t>
      </w:r>
      <w:r w:rsidRPr="00B47843">
        <w:rPr>
          <w:rtl/>
          <w:lang w:bidi="fa-IR"/>
        </w:rPr>
        <w:t>قاعدتا</w:t>
      </w:r>
      <w:r w:rsidR="00076964" w:rsidRPr="00B47843">
        <w:rPr>
          <w:rFonts w:hint="cs"/>
          <w:rtl/>
          <w:lang w:bidi="fa-IR"/>
        </w:rPr>
        <w:t>ً</w:t>
      </w:r>
      <w:r w:rsidRPr="00B47843">
        <w:rPr>
          <w:rtl/>
          <w:lang w:bidi="fa-IR"/>
        </w:rPr>
        <w:t xml:space="preserve"> </w:t>
      </w:r>
      <w:r w:rsidR="00555EF7" w:rsidRPr="00B47843">
        <w:rPr>
          <w:rtl/>
          <w:lang w:bidi="fa-IR"/>
        </w:rPr>
        <w:t>محکوم له</w:t>
      </w:r>
      <w:r w:rsidRPr="00B47843">
        <w:rPr>
          <w:rtl/>
          <w:lang w:bidi="fa-IR"/>
        </w:rPr>
        <w:t xml:space="preserve"> </w:t>
      </w:r>
      <w:r w:rsidRPr="00B47843">
        <w:rPr>
          <w:rFonts w:hint="cs"/>
          <w:rtl/>
          <w:lang w:bidi="fa-IR"/>
        </w:rPr>
        <w:t>برای</w:t>
      </w:r>
      <w:r w:rsidRPr="00B47843">
        <w:rPr>
          <w:rtl/>
          <w:lang w:bidi="fa-IR"/>
        </w:rPr>
        <w:t xml:space="preserve"> </w:t>
      </w:r>
      <w:r w:rsidRPr="00B47843">
        <w:rPr>
          <w:rFonts w:hint="cs"/>
          <w:rtl/>
          <w:lang w:bidi="fa-IR"/>
        </w:rPr>
        <w:t>اینکه</w:t>
      </w:r>
      <w:r w:rsidRPr="00B47843">
        <w:rPr>
          <w:rtl/>
          <w:lang w:bidi="fa-IR"/>
        </w:rPr>
        <w:t xml:space="preserve"> به هدف خود برسد </w:t>
      </w:r>
      <w:r w:rsidRPr="00B47843">
        <w:rPr>
          <w:rFonts w:hint="cs"/>
          <w:rtl/>
          <w:lang w:bidi="fa-IR"/>
        </w:rPr>
        <w:t>باید</w:t>
      </w:r>
      <w:r w:rsidRPr="00B47843">
        <w:rPr>
          <w:rtl/>
          <w:lang w:bidi="fa-IR"/>
        </w:rPr>
        <w:t xml:space="preserve"> در </w:t>
      </w:r>
      <w:r w:rsidRPr="00B47843">
        <w:rPr>
          <w:rFonts w:hint="cs"/>
          <w:rtl/>
          <w:lang w:bidi="fa-IR"/>
        </w:rPr>
        <w:t>محلی</w:t>
      </w:r>
      <w:r w:rsidRPr="00B47843">
        <w:rPr>
          <w:rtl/>
          <w:lang w:bidi="fa-IR"/>
        </w:rPr>
        <w:t xml:space="preserve"> درخواست اجرا بدهد که اموال </w:t>
      </w:r>
      <w:r w:rsidR="00555EF7" w:rsidRPr="00B47843">
        <w:rPr>
          <w:rtl/>
          <w:lang w:bidi="fa-IR"/>
        </w:rPr>
        <w:t>محکوم علیه</w:t>
      </w:r>
      <w:r w:rsidRPr="00B47843">
        <w:rPr>
          <w:rtl/>
          <w:lang w:bidi="fa-IR"/>
        </w:rPr>
        <w:t xml:space="preserve"> در آنجا واقع است.</w:t>
      </w:r>
      <w:r w:rsidR="007E08B5" w:rsidRPr="00B47843">
        <w:rPr>
          <w:rFonts w:hint="cs"/>
          <w:rtl/>
          <w:lang w:bidi="fa-IR"/>
        </w:rPr>
        <w:t xml:space="preserve"> اما با توجه به اینکه امروزه اکثر کشورهای جهان به یک یا چند کنوانسیون بین</w:t>
      </w:r>
      <w:r w:rsidR="00FF445C">
        <w:rPr>
          <w:rFonts w:hint="cs"/>
          <w:rtl/>
          <w:lang w:bidi="fa-IR"/>
        </w:rPr>
        <w:t>‌</w:t>
      </w:r>
      <w:r w:rsidR="007E08B5" w:rsidRPr="00B47843">
        <w:rPr>
          <w:rFonts w:hint="cs"/>
          <w:rtl/>
          <w:lang w:bidi="fa-IR"/>
        </w:rPr>
        <w:t>المللی حاوی مقرراتی در زمینه شناس</w:t>
      </w:r>
      <w:r w:rsidR="00C217FD" w:rsidRPr="00B47843">
        <w:rPr>
          <w:rFonts w:hint="cs"/>
          <w:rtl/>
          <w:lang w:bidi="fa-IR"/>
        </w:rPr>
        <w:t>ایی و اجرای آرای داوری ملحق شده</w:t>
      </w:r>
      <w:r w:rsidR="00D31128">
        <w:rPr>
          <w:rFonts w:hint="cs"/>
          <w:rtl/>
          <w:lang w:bidi="fa-IR"/>
        </w:rPr>
        <w:t>‌</w:t>
      </w:r>
      <w:r w:rsidR="007E08B5" w:rsidRPr="00B47843">
        <w:rPr>
          <w:rFonts w:hint="cs"/>
          <w:rtl/>
          <w:lang w:bidi="fa-IR"/>
        </w:rPr>
        <w:t>اند،</w:t>
      </w:r>
      <w:r w:rsidR="00C217FD" w:rsidRPr="00B47843">
        <w:rPr>
          <w:rFonts w:hint="cs"/>
          <w:rtl/>
          <w:lang w:bidi="fa-IR"/>
        </w:rPr>
        <w:t xml:space="preserve"> بسته به شمول یا عدم شمول کنوانسیون یا کنوانسیون</w:t>
      </w:r>
      <w:r w:rsidR="00D31128">
        <w:rPr>
          <w:rFonts w:hint="cs"/>
          <w:rtl/>
          <w:lang w:bidi="fa-IR"/>
        </w:rPr>
        <w:t>‌</w:t>
      </w:r>
      <w:r w:rsidR="00C217FD" w:rsidRPr="00B47843">
        <w:rPr>
          <w:rFonts w:hint="cs"/>
          <w:rtl/>
          <w:lang w:bidi="fa-IR"/>
        </w:rPr>
        <w:t xml:space="preserve">های مزبور بر رأی داوری موضوع درخواست اجرا، رژیم حقوقی حاکم بر اجرای رأی متفاوت خواهد بود. به </w:t>
      </w:r>
      <w:r w:rsidR="00C217FD" w:rsidRPr="00B47843">
        <w:rPr>
          <w:rFonts w:hint="cs"/>
          <w:rtl/>
          <w:lang w:bidi="fa-IR"/>
        </w:rPr>
        <w:lastRenderedPageBreak/>
        <w:t>همین جهت</w:t>
      </w:r>
      <w:r w:rsidR="00966507" w:rsidRPr="00B47843">
        <w:rPr>
          <w:rFonts w:hint="cs"/>
          <w:rtl/>
          <w:lang w:bidi="fa-IR"/>
        </w:rPr>
        <w:t>،</w:t>
      </w:r>
      <w:r w:rsidR="00C217FD" w:rsidRPr="00B47843">
        <w:rPr>
          <w:rFonts w:hint="cs"/>
          <w:rtl/>
          <w:lang w:bidi="fa-IR"/>
        </w:rPr>
        <w:t xml:space="preserve"> در ادامه ابتدا به رژیم اجرا در</w:t>
      </w:r>
      <w:r w:rsidR="00106AB0" w:rsidRPr="00B47843">
        <w:rPr>
          <w:rFonts w:hint="cs"/>
          <w:rtl/>
          <w:lang w:bidi="fa-IR"/>
        </w:rPr>
        <w:t xml:space="preserve"> یکی از</w:t>
      </w:r>
      <w:r w:rsidR="00C217FD" w:rsidRPr="00B47843">
        <w:rPr>
          <w:rFonts w:hint="cs"/>
          <w:rtl/>
          <w:lang w:bidi="fa-IR"/>
        </w:rPr>
        <w:t xml:space="preserve"> مهم</w:t>
      </w:r>
      <w:r w:rsidR="00FF445C">
        <w:rPr>
          <w:rFonts w:hint="cs"/>
          <w:rtl/>
          <w:lang w:bidi="fa-IR"/>
        </w:rPr>
        <w:t>‌</w:t>
      </w:r>
      <w:r w:rsidR="00076964" w:rsidRPr="00B47843">
        <w:rPr>
          <w:rFonts w:hint="cs"/>
          <w:rtl/>
          <w:lang w:bidi="fa-IR"/>
        </w:rPr>
        <w:t>ترین</w:t>
      </w:r>
      <w:r w:rsidR="00106AB0" w:rsidRPr="00B47843">
        <w:rPr>
          <w:rFonts w:hint="cs"/>
          <w:rtl/>
          <w:lang w:bidi="fa-IR"/>
        </w:rPr>
        <w:t xml:space="preserve"> و فراگیرترین</w:t>
      </w:r>
      <w:r w:rsidR="00076964" w:rsidRPr="00B47843">
        <w:rPr>
          <w:rFonts w:hint="cs"/>
          <w:rtl/>
          <w:lang w:bidi="fa-IR"/>
        </w:rPr>
        <w:t xml:space="preserve"> اسناد</w:t>
      </w:r>
      <w:r w:rsidR="00C217FD" w:rsidRPr="00B47843">
        <w:rPr>
          <w:rFonts w:hint="cs"/>
          <w:rtl/>
          <w:lang w:bidi="fa-IR"/>
        </w:rPr>
        <w:t xml:space="preserve"> بین</w:t>
      </w:r>
      <w:r w:rsidR="00FF445C">
        <w:rPr>
          <w:rFonts w:hint="cs"/>
          <w:rtl/>
          <w:lang w:bidi="fa-IR"/>
        </w:rPr>
        <w:t>‌</w:t>
      </w:r>
      <w:r w:rsidR="00C217FD" w:rsidRPr="00B47843">
        <w:rPr>
          <w:rFonts w:hint="cs"/>
          <w:rtl/>
          <w:lang w:bidi="fa-IR"/>
        </w:rPr>
        <w:t>المللی در این زمینه، یعنی کنوانسیون 1958 نیویورک راجع به شناسایی و اجرای احکام داوری تجاری بین</w:t>
      </w:r>
      <w:r w:rsidR="00FF445C">
        <w:rPr>
          <w:rFonts w:hint="cs"/>
          <w:rtl/>
          <w:lang w:bidi="fa-IR"/>
        </w:rPr>
        <w:t>‌</w:t>
      </w:r>
      <w:r w:rsidR="00C217FD" w:rsidRPr="00B47843">
        <w:rPr>
          <w:rFonts w:hint="cs"/>
          <w:rtl/>
          <w:lang w:bidi="fa-IR"/>
        </w:rPr>
        <w:t xml:space="preserve">المللی </w:t>
      </w:r>
      <w:r w:rsidR="00106AB0" w:rsidRPr="00B47843">
        <w:rPr>
          <w:rFonts w:hint="cs"/>
          <w:rtl/>
          <w:lang w:bidi="fa-IR"/>
        </w:rPr>
        <w:t xml:space="preserve">و </w:t>
      </w:r>
      <w:r w:rsidR="00C217FD" w:rsidRPr="00B47843">
        <w:rPr>
          <w:rFonts w:hint="cs"/>
          <w:rtl/>
          <w:lang w:bidi="fa-IR"/>
        </w:rPr>
        <w:t>سپس به همین موضوع در</w:t>
      </w:r>
      <w:r w:rsidR="00106AB0" w:rsidRPr="00B47843">
        <w:rPr>
          <w:rFonts w:hint="cs"/>
          <w:rtl/>
          <w:lang w:bidi="fa-IR"/>
        </w:rPr>
        <w:t xml:space="preserve"> نظام</w:t>
      </w:r>
      <w:r w:rsidR="00FF445C">
        <w:rPr>
          <w:rFonts w:hint="cs"/>
          <w:rtl/>
          <w:lang w:bidi="fa-IR"/>
        </w:rPr>
        <w:t>‌</w:t>
      </w:r>
      <w:r w:rsidR="00D87CD8">
        <w:rPr>
          <w:rFonts w:hint="cs"/>
          <w:rtl/>
          <w:lang w:bidi="fa-IR"/>
        </w:rPr>
        <w:t>های حقوقی رومی-ژرمنی، کامن‌</w:t>
      </w:r>
      <w:r w:rsidR="00106AB0" w:rsidRPr="00B47843">
        <w:rPr>
          <w:rFonts w:hint="cs"/>
          <w:rtl/>
          <w:lang w:bidi="fa-IR"/>
        </w:rPr>
        <w:t xml:space="preserve">لا و </w:t>
      </w:r>
      <w:r w:rsidR="00F72841" w:rsidRPr="00B47843">
        <w:rPr>
          <w:rFonts w:hint="cs"/>
          <w:rtl/>
          <w:lang w:bidi="fa-IR"/>
        </w:rPr>
        <w:t>همچنین</w:t>
      </w:r>
      <w:r w:rsidR="00966507" w:rsidRPr="00B47843">
        <w:rPr>
          <w:rFonts w:hint="cs"/>
          <w:rtl/>
          <w:lang w:bidi="fa-IR"/>
        </w:rPr>
        <w:t xml:space="preserve"> در حقوق</w:t>
      </w:r>
      <w:r w:rsidR="00F72841" w:rsidRPr="00B47843">
        <w:rPr>
          <w:rFonts w:hint="cs"/>
          <w:rtl/>
          <w:lang w:bidi="fa-IR"/>
        </w:rPr>
        <w:t xml:space="preserve"> ایران،</w:t>
      </w:r>
      <w:r w:rsidR="00C217FD" w:rsidRPr="00B47843">
        <w:rPr>
          <w:rFonts w:hint="cs"/>
          <w:rtl/>
          <w:lang w:bidi="fa-IR"/>
        </w:rPr>
        <w:t xml:space="preserve"> پرداخته خواهد شد.</w:t>
      </w:r>
    </w:p>
    <w:p w:rsidR="008F03A3" w:rsidRPr="00B47843" w:rsidRDefault="008F03A3" w:rsidP="004C2DA3">
      <w:pPr>
        <w:bidi/>
        <w:ind w:firstLine="360"/>
        <w:jc w:val="mediumKashida"/>
        <w:rPr>
          <w:b/>
          <w:bCs/>
          <w:lang w:bidi="fa-IR"/>
        </w:rPr>
      </w:pPr>
    </w:p>
    <w:p w:rsidR="005A17AB" w:rsidRPr="001C4F41" w:rsidRDefault="00EE1516" w:rsidP="00C34789">
      <w:pPr>
        <w:pStyle w:val="Heading4"/>
      </w:pPr>
      <w:r w:rsidRPr="001C4F41">
        <w:rPr>
          <w:rFonts w:hint="cs"/>
          <w:rtl/>
        </w:rPr>
        <w:t>2-1-1</w:t>
      </w:r>
      <w:r w:rsidR="005A17AB" w:rsidRPr="001C4F41">
        <w:rPr>
          <w:rFonts w:hint="cs"/>
          <w:rtl/>
        </w:rPr>
        <w:t>) کنوانسیون نیویورک</w:t>
      </w:r>
    </w:p>
    <w:p w:rsidR="001C4F41" w:rsidRPr="001C4F41" w:rsidRDefault="001C4F41" w:rsidP="001C4F41">
      <w:pPr>
        <w:rPr>
          <w:rtl/>
          <w:lang w:bidi="fa-IR"/>
        </w:rPr>
      </w:pPr>
    </w:p>
    <w:p w:rsidR="0093466F" w:rsidRPr="00B47843" w:rsidRDefault="008F03A3" w:rsidP="00652FAE">
      <w:pPr>
        <w:bidi/>
        <w:ind w:firstLine="360"/>
        <w:jc w:val="mediumKashida"/>
        <w:rPr>
          <w:rtl/>
          <w:lang w:bidi="fa-IR"/>
        </w:rPr>
      </w:pPr>
      <w:r w:rsidRPr="00B47843">
        <w:rPr>
          <w:rFonts w:hint="cs"/>
          <w:rtl/>
          <w:lang w:bidi="fa-IR"/>
        </w:rPr>
        <w:t>کنوانسیون نیویورک مورخ 10 ژوئن 1958، بی</w:t>
      </w:r>
      <w:r w:rsidR="00D87CD8">
        <w:rPr>
          <w:rFonts w:hint="cs"/>
          <w:rtl/>
          <w:lang w:bidi="fa-IR"/>
        </w:rPr>
        <w:t>‌</w:t>
      </w:r>
      <w:r w:rsidRPr="00B47843">
        <w:rPr>
          <w:rFonts w:hint="cs"/>
          <w:rtl/>
          <w:lang w:bidi="fa-IR"/>
        </w:rPr>
        <w:t>شک یکی از مناسب</w:t>
      </w:r>
      <w:r w:rsidR="00D87CD8">
        <w:rPr>
          <w:rFonts w:hint="cs"/>
          <w:rtl/>
          <w:lang w:bidi="fa-IR"/>
        </w:rPr>
        <w:t>‌</w:t>
      </w:r>
      <w:r w:rsidRPr="00B47843">
        <w:rPr>
          <w:rFonts w:hint="cs"/>
          <w:rtl/>
          <w:lang w:bidi="fa-IR"/>
        </w:rPr>
        <w:t>ترین کنوانسیون</w:t>
      </w:r>
      <w:r w:rsidR="00FF445C">
        <w:rPr>
          <w:rFonts w:hint="cs"/>
          <w:rtl/>
          <w:lang w:bidi="fa-IR"/>
        </w:rPr>
        <w:t>‌</w:t>
      </w:r>
      <w:r w:rsidRPr="00B47843">
        <w:rPr>
          <w:rFonts w:hint="cs"/>
          <w:rtl/>
          <w:lang w:bidi="fa-IR"/>
        </w:rPr>
        <w:t>های بین</w:t>
      </w:r>
      <w:r w:rsidR="00FF445C">
        <w:rPr>
          <w:rFonts w:hint="cs"/>
          <w:rtl/>
          <w:lang w:bidi="fa-IR"/>
        </w:rPr>
        <w:t>‌</w:t>
      </w:r>
      <w:r w:rsidRPr="00B47843">
        <w:rPr>
          <w:rFonts w:hint="cs"/>
          <w:rtl/>
          <w:lang w:bidi="fa-IR"/>
        </w:rPr>
        <w:t>المللی مربوط به اجرای آرای داوری خارجی است و به همین جهت مو</w:t>
      </w:r>
      <w:r w:rsidR="00652FAE">
        <w:rPr>
          <w:rFonts w:hint="cs"/>
          <w:rtl/>
          <w:lang w:bidi="fa-IR"/>
        </w:rPr>
        <w:t>رد اقبال عام قرار گرفته و حدود 15</w:t>
      </w:r>
      <w:r w:rsidRPr="00B47843">
        <w:rPr>
          <w:rFonts w:hint="cs"/>
          <w:rtl/>
          <w:lang w:bidi="fa-IR"/>
        </w:rPr>
        <w:t>0 کشور جهان بدان ملحق شده</w:t>
      </w:r>
      <w:r w:rsidR="00FF445C">
        <w:rPr>
          <w:rFonts w:hint="cs"/>
          <w:rtl/>
          <w:lang w:bidi="fa-IR"/>
        </w:rPr>
        <w:t>‌</w:t>
      </w:r>
      <w:r w:rsidRPr="00B47843">
        <w:rPr>
          <w:rFonts w:hint="cs"/>
          <w:rtl/>
          <w:lang w:bidi="fa-IR"/>
        </w:rPr>
        <w:t>اند. این معاهده به عنوان موفق</w:t>
      </w:r>
      <w:r w:rsidR="00FF445C">
        <w:rPr>
          <w:rFonts w:hint="cs"/>
          <w:rtl/>
          <w:lang w:bidi="fa-IR"/>
        </w:rPr>
        <w:t>‌</w:t>
      </w:r>
      <w:r w:rsidRPr="00B47843">
        <w:rPr>
          <w:rFonts w:hint="cs"/>
          <w:rtl/>
          <w:lang w:bidi="fa-IR"/>
        </w:rPr>
        <w:t>ترین کنوانسیون در حوزه حقوق خصوصی بین</w:t>
      </w:r>
      <w:r w:rsidR="00FF445C">
        <w:rPr>
          <w:rFonts w:hint="cs"/>
          <w:rtl/>
          <w:lang w:bidi="fa-IR"/>
        </w:rPr>
        <w:t>‌</w:t>
      </w:r>
      <w:r w:rsidRPr="00B47843">
        <w:rPr>
          <w:rFonts w:hint="cs"/>
          <w:rtl/>
          <w:lang w:bidi="fa-IR"/>
        </w:rPr>
        <w:t>المللی و مهمترین پایگاه رشد داوری تجاری بین</w:t>
      </w:r>
      <w:r w:rsidR="00FF445C">
        <w:rPr>
          <w:rFonts w:hint="cs"/>
          <w:rtl/>
          <w:lang w:bidi="fa-IR"/>
        </w:rPr>
        <w:t>‌</w:t>
      </w:r>
      <w:r w:rsidRPr="00B47843">
        <w:rPr>
          <w:rFonts w:hint="cs"/>
          <w:rtl/>
          <w:lang w:bidi="fa-IR"/>
        </w:rPr>
        <w:t>المللی و سنگ بنای عمارت عظیم داوری بین</w:t>
      </w:r>
      <w:r w:rsidR="00FF445C">
        <w:rPr>
          <w:rFonts w:hint="cs"/>
          <w:rtl/>
          <w:lang w:bidi="fa-IR"/>
        </w:rPr>
        <w:t>‌</w:t>
      </w:r>
      <w:r w:rsidRPr="00B47843">
        <w:rPr>
          <w:rFonts w:hint="cs"/>
          <w:rtl/>
          <w:lang w:bidi="fa-IR"/>
        </w:rPr>
        <w:t>المللی توصیف شده است.</w:t>
      </w:r>
      <w:r w:rsidRPr="00B47843">
        <w:rPr>
          <w:rStyle w:val="FootnoteReference"/>
          <w:rtl/>
          <w:lang w:bidi="fa-IR"/>
        </w:rPr>
        <w:footnoteReference w:id="7"/>
      </w:r>
    </w:p>
    <w:p w:rsidR="000369C2" w:rsidRPr="00B47843" w:rsidRDefault="000369C2" w:rsidP="004C2DA3">
      <w:pPr>
        <w:bidi/>
        <w:ind w:firstLine="360"/>
        <w:jc w:val="mediumKashida"/>
        <w:rPr>
          <w:rtl/>
          <w:lang w:bidi="fa-IR"/>
        </w:rPr>
      </w:pPr>
      <w:r w:rsidRPr="00B47843">
        <w:rPr>
          <w:rFonts w:hint="cs"/>
          <w:rtl/>
          <w:lang w:bidi="fa-IR"/>
        </w:rPr>
        <w:t>در مورد آیین اجرای آرای داوری مشمول کنوانسیون نیویورک، ماده 3 کنوانسیون مقرر می</w:t>
      </w:r>
      <w:r w:rsidR="00FF445C">
        <w:rPr>
          <w:rFonts w:hint="cs"/>
          <w:rtl/>
          <w:lang w:bidi="fa-IR"/>
        </w:rPr>
        <w:t>‌</w:t>
      </w:r>
      <w:r w:rsidRPr="00B47843">
        <w:rPr>
          <w:rFonts w:hint="cs"/>
          <w:rtl/>
          <w:lang w:bidi="fa-IR"/>
        </w:rPr>
        <w:t>دارد:</w:t>
      </w:r>
    </w:p>
    <w:p w:rsidR="000369C2" w:rsidRPr="00B47843" w:rsidRDefault="000369C2" w:rsidP="004C2DA3">
      <w:pPr>
        <w:bidi/>
        <w:ind w:firstLine="360"/>
        <w:jc w:val="mediumKashida"/>
        <w:rPr>
          <w:rtl/>
          <w:lang w:bidi="fa-IR"/>
        </w:rPr>
      </w:pPr>
      <w:r w:rsidRPr="00B47843">
        <w:rPr>
          <w:rFonts w:hint="cs"/>
          <w:rtl/>
          <w:lang w:bidi="fa-IR"/>
        </w:rPr>
        <w:t>«دول متعاهد، آرای داوری را الزام</w:t>
      </w:r>
      <w:r w:rsidR="00FF445C">
        <w:rPr>
          <w:rFonts w:hint="cs"/>
          <w:rtl/>
          <w:lang w:bidi="fa-IR"/>
        </w:rPr>
        <w:t>‌</w:t>
      </w:r>
      <w:r w:rsidRPr="00B47843">
        <w:rPr>
          <w:rFonts w:hint="cs"/>
          <w:rtl/>
          <w:lang w:bidi="fa-IR"/>
        </w:rPr>
        <w:t xml:space="preserve">آور خواهند شناخت و آنها را مطابق آیین دادرسی محلی که رأی در قلمرو آن مورد استناد قرار گرفته است، با رعایت شرایط مندرج در مواد آتی این کنوانسیون، اجرا خواهند کرد. در مورد اجرای آرای داوری </w:t>
      </w:r>
      <w:r w:rsidRPr="00B47843">
        <w:rPr>
          <w:rFonts w:hint="cs"/>
          <w:rtl/>
          <w:lang w:bidi="fa-IR"/>
        </w:rPr>
        <w:lastRenderedPageBreak/>
        <w:t>موضوع این کنوانسیون نباید شرطی که اساساً شدیدتر باشد یا حق</w:t>
      </w:r>
      <w:r w:rsidR="001749C5">
        <w:rPr>
          <w:rFonts w:hint="cs"/>
          <w:rtl/>
          <w:lang w:bidi="fa-IR"/>
        </w:rPr>
        <w:t>‌</w:t>
      </w:r>
      <w:r w:rsidRPr="00B47843">
        <w:rPr>
          <w:rFonts w:hint="cs"/>
          <w:rtl/>
          <w:lang w:bidi="fa-IR"/>
        </w:rPr>
        <w:t>الزحمه یا هزینه</w:t>
      </w:r>
      <w:r w:rsidR="001749C5">
        <w:rPr>
          <w:rFonts w:hint="cs"/>
          <w:rtl/>
          <w:lang w:bidi="fa-IR"/>
        </w:rPr>
        <w:t>‌</w:t>
      </w:r>
      <w:r w:rsidRPr="00B47843">
        <w:rPr>
          <w:rFonts w:hint="cs"/>
          <w:rtl/>
          <w:lang w:bidi="fa-IR"/>
        </w:rPr>
        <w:t>ای بیشتر از آنچه در شناسایی و اجرای آرای داوری داخلی معمول است، تحمیل شود.»</w:t>
      </w:r>
    </w:p>
    <w:p w:rsidR="000369C2" w:rsidRPr="00B47843" w:rsidRDefault="000369C2" w:rsidP="004C2DA3">
      <w:pPr>
        <w:bidi/>
        <w:ind w:firstLine="360"/>
        <w:jc w:val="mediumKashida"/>
        <w:rPr>
          <w:rtl/>
          <w:lang w:bidi="fa-IR"/>
        </w:rPr>
      </w:pPr>
      <w:r w:rsidRPr="00B47843">
        <w:rPr>
          <w:rFonts w:hint="cs"/>
          <w:rtl/>
          <w:lang w:bidi="fa-IR"/>
        </w:rPr>
        <w:t>همانطور که به خوبی از متن ماده سه بر می</w:t>
      </w:r>
      <w:r w:rsidR="001749C5">
        <w:rPr>
          <w:rFonts w:hint="cs"/>
          <w:rtl/>
          <w:lang w:bidi="fa-IR"/>
        </w:rPr>
        <w:t>‌</w:t>
      </w:r>
      <w:r w:rsidRPr="00B47843">
        <w:rPr>
          <w:rFonts w:hint="cs"/>
          <w:rtl/>
          <w:lang w:bidi="fa-IR"/>
        </w:rPr>
        <w:t>آید، از میان سه نظر موجود در کنفرانس نیویورک مبنی بر «پیش</w:t>
      </w:r>
      <w:r w:rsidR="00D87CD8">
        <w:rPr>
          <w:rFonts w:hint="cs"/>
          <w:rtl/>
          <w:lang w:bidi="fa-IR"/>
        </w:rPr>
        <w:t>‌</w:t>
      </w:r>
      <w:r w:rsidRPr="00B47843">
        <w:rPr>
          <w:rFonts w:hint="cs"/>
          <w:rtl/>
          <w:lang w:bidi="fa-IR"/>
        </w:rPr>
        <w:t>بینی آیین خاص برای اجرای آرا</w:t>
      </w:r>
      <w:r w:rsidR="00D87CD8">
        <w:rPr>
          <w:rFonts w:hint="cs"/>
          <w:rtl/>
          <w:lang w:bidi="fa-IR"/>
        </w:rPr>
        <w:t>ء</w:t>
      </w:r>
      <w:r w:rsidRPr="00B47843">
        <w:rPr>
          <w:rFonts w:hint="cs"/>
          <w:rtl/>
          <w:lang w:bidi="fa-IR"/>
        </w:rPr>
        <w:t xml:space="preserve"> در کنوانسیون»، «اجرای آرای کنوانسیون بر پایه یک آیین اختصاری» و بالاخره «اجرای آرای داوری بر اساس آیین اجرای آرای داوری داخلی کشور محل درخواست اجرا»، پیشنهاد اخیر، البته با اصلاحاتی پذیرفته شد. زیرا پیشنهاد اول علاوه بر تفصیل بیش از حد کنوانسیون و احتمال تفاسیر متعدد، دور از دسترس می</w:t>
      </w:r>
      <w:r w:rsidR="001749C5">
        <w:rPr>
          <w:rFonts w:hint="cs"/>
          <w:rtl/>
          <w:lang w:bidi="fa-IR"/>
        </w:rPr>
        <w:t>‌</w:t>
      </w:r>
      <w:r w:rsidRPr="00B47843">
        <w:rPr>
          <w:rFonts w:hint="cs"/>
          <w:rtl/>
          <w:lang w:bidi="fa-IR"/>
        </w:rPr>
        <w:t>نمود. پیشنهاد دوم، علاوه بر مشکلات مذکور، برای بسیاری از کشورها مفهومی ناشناخته بود. به همین جهت، پیشنهاد سوم که سابقه</w:t>
      </w:r>
      <w:r w:rsidR="001749C5">
        <w:rPr>
          <w:rFonts w:hint="cs"/>
          <w:rtl/>
          <w:lang w:bidi="fa-IR"/>
        </w:rPr>
        <w:t>‌</w:t>
      </w:r>
      <w:r w:rsidRPr="00B47843">
        <w:rPr>
          <w:rFonts w:hint="cs"/>
          <w:rtl/>
          <w:lang w:bidi="fa-IR"/>
        </w:rPr>
        <w:t>ای در کنوانسیون 1927 ژنو داشت، یعنی اجرای رأی بر اساس آیین دادرسی محلی، البته با حذف قید آیین مربوط به اجرای آرای داوری داخلی مورد قبول کنفرانس قرار گرفت. علت حذف قید اخیر روشن است، چرا که بسیاری از کشورها تمایلی به یکسان سازی آرای کنوانسیون با آرای داخلی ندارند. ولی، برای جلوگیری از اعمال کنترل</w:t>
      </w:r>
      <w:r w:rsidR="00CE68B0">
        <w:rPr>
          <w:rFonts w:hint="cs"/>
          <w:rtl/>
          <w:lang w:bidi="fa-IR"/>
        </w:rPr>
        <w:t>‌</w:t>
      </w:r>
      <w:r w:rsidRPr="00B47843">
        <w:rPr>
          <w:rFonts w:hint="cs"/>
          <w:rtl/>
          <w:lang w:bidi="fa-IR"/>
        </w:rPr>
        <w:t>های شدید، کنفرانس، پیشنهاد نماینده انگلستان را پذیرفت. به موجب این نظر، در مورد اجرای آرای داوری موضوع کنوانسیون نباید شرایطی که اساساً شدیدتر باشد یا حق</w:t>
      </w:r>
      <w:r w:rsidR="001749C5">
        <w:rPr>
          <w:rFonts w:hint="cs"/>
          <w:rtl/>
          <w:lang w:bidi="fa-IR"/>
        </w:rPr>
        <w:t>‌</w:t>
      </w:r>
      <w:r w:rsidRPr="00B47843">
        <w:rPr>
          <w:rFonts w:hint="cs"/>
          <w:rtl/>
          <w:lang w:bidi="fa-IR"/>
        </w:rPr>
        <w:t>الزحمه</w:t>
      </w:r>
      <w:r w:rsidR="001749C5">
        <w:rPr>
          <w:rFonts w:hint="cs"/>
          <w:rtl/>
          <w:lang w:bidi="fa-IR"/>
        </w:rPr>
        <w:t xml:space="preserve"> </w:t>
      </w:r>
      <w:r w:rsidRPr="00B47843">
        <w:rPr>
          <w:rFonts w:hint="cs"/>
          <w:rtl/>
          <w:lang w:bidi="fa-IR"/>
        </w:rPr>
        <w:t>یا هزینه</w:t>
      </w:r>
      <w:r w:rsidR="001749C5">
        <w:rPr>
          <w:rFonts w:hint="cs"/>
          <w:rtl/>
          <w:lang w:bidi="fa-IR"/>
        </w:rPr>
        <w:t>‌</w:t>
      </w:r>
      <w:r w:rsidRPr="00B47843">
        <w:rPr>
          <w:rFonts w:hint="cs"/>
          <w:rtl/>
          <w:lang w:bidi="fa-IR"/>
        </w:rPr>
        <w:t>ای بیشتر از آنچه برای شناسایی و اجرای آرای داوری داخلی معمول است، تحمیل شود. همان چیزی که عیناً در قسمت اخیر ماده سه منعکس شده است.</w:t>
      </w:r>
      <w:r w:rsidRPr="00B47843">
        <w:rPr>
          <w:rStyle w:val="FootnoteReference"/>
          <w:rtl/>
          <w:lang w:bidi="fa-IR"/>
        </w:rPr>
        <w:footnoteReference w:id="8"/>
      </w:r>
    </w:p>
    <w:p w:rsidR="0093466F" w:rsidRPr="00B47843" w:rsidRDefault="0093466F" w:rsidP="004C2DA3">
      <w:pPr>
        <w:bidi/>
        <w:ind w:firstLine="360"/>
        <w:jc w:val="mediumKashida"/>
        <w:rPr>
          <w:rtl/>
          <w:lang w:bidi="fa-IR"/>
        </w:rPr>
      </w:pPr>
      <w:r w:rsidRPr="00B47843">
        <w:rPr>
          <w:rFonts w:hint="cs"/>
          <w:rtl/>
          <w:lang w:bidi="fa-IR"/>
        </w:rPr>
        <w:t>در مورد مکانیسم اجرایی موضوع کنوانسیون نیویورک دو اصلاح مهم در مقایسه با کنوانسیون ژنو قابل توجه است:</w:t>
      </w:r>
    </w:p>
    <w:p w:rsidR="0093466F" w:rsidRPr="00B47843" w:rsidRDefault="001E7C94" w:rsidP="004C2DA3">
      <w:pPr>
        <w:pStyle w:val="ListParagraph"/>
        <w:bidi/>
        <w:ind w:left="0" w:firstLine="360"/>
        <w:jc w:val="mediumKashida"/>
        <w:rPr>
          <w:lang w:bidi="fa-IR"/>
        </w:rPr>
      </w:pPr>
      <w:r>
        <w:rPr>
          <w:rFonts w:hint="cs"/>
          <w:rtl/>
          <w:lang w:bidi="fa-IR"/>
        </w:rPr>
        <w:lastRenderedPageBreak/>
        <w:t xml:space="preserve">1- </w:t>
      </w:r>
      <w:r w:rsidR="0093466F" w:rsidRPr="00B47843">
        <w:rPr>
          <w:rFonts w:hint="cs"/>
          <w:rtl/>
          <w:lang w:bidi="fa-IR"/>
        </w:rPr>
        <w:t>این کنوانسیون رویه دستور اجرای دوگانه موضوع کنوانسیون ژنو 1927 را نسخ کرد و برای اجرای آرای داوری خارجی، الزام</w:t>
      </w:r>
      <w:r w:rsidR="001749C5">
        <w:rPr>
          <w:rFonts w:hint="cs"/>
          <w:rtl/>
          <w:lang w:bidi="fa-IR"/>
        </w:rPr>
        <w:t>‌</w:t>
      </w:r>
      <w:r w:rsidR="0093466F" w:rsidRPr="00B47843">
        <w:rPr>
          <w:rFonts w:hint="cs"/>
          <w:rtl/>
          <w:lang w:bidi="fa-IR"/>
        </w:rPr>
        <w:t>آور بودن آنها را کافی دانست و شرط نهایی بودن رأی را از بین برد.</w:t>
      </w:r>
    </w:p>
    <w:p w:rsidR="00B352BE" w:rsidRPr="00B47843" w:rsidRDefault="001E7C94" w:rsidP="004C2DA3">
      <w:pPr>
        <w:pStyle w:val="ListParagraph"/>
        <w:bidi/>
        <w:ind w:left="0" w:firstLine="360"/>
        <w:jc w:val="mediumKashida"/>
        <w:rPr>
          <w:rtl/>
          <w:lang w:bidi="fa-IR"/>
        </w:rPr>
      </w:pPr>
      <w:r>
        <w:rPr>
          <w:rFonts w:hint="cs"/>
          <w:rtl/>
          <w:lang w:bidi="fa-IR"/>
        </w:rPr>
        <w:t xml:space="preserve">2- </w:t>
      </w:r>
      <w:r w:rsidR="00B352BE" w:rsidRPr="00B47843">
        <w:rPr>
          <w:rFonts w:hint="cs"/>
          <w:rtl/>
          <w:lang w:bidi="fa-IR"/>
        </w:rPr>
        <w:t>کنوانسیون نیویورک، با</w:t>
      </w:r>
      <w:r w:rsidR="000369C2" w:rsidRPr="00B47843">
        <w:rPr>
          <w:rFonts w:hint="cs"/>
          <w:rtl/>
          <w:lang w:bidi="fa-IR"/>
        </w:rPr>
        <w:t>ر</w:t>
      </w:r>
      <w:r w:rsidR="00B352BE" w:rsidRPr="00B47843">
        <w:rPr>
          <w:rFonts w:hint="cs"/>
          <w:rtl/>
          <w:lang w:bidi="fa-IR"/>
        </w:rPr>
        <w:t xml:space="preserve"> دلیل جهت اثبات مبانی عدم شناسایی و اجرای رأی را تغییر داد و از عهده درخواست کننده بر عهده معترض گذاشت. در واقع معیارهای لازم برای اجرای رأی را از حالت شرطیّت به مانعیّت تغییر داد. البته آنچه که در مورد بار دلیل گفته شد، مربوط به دو مبنای «قابل داوری نبودن موضوع» و «مغایرت رأی با نظم عمومی» نمی</w:t>
      </w:r>
      <w:r w:rsidR="001749C5">
        <w:rPr>
          <w:rFonts w:hint="cs"/>
          <w:rtl/>
          <w:lang w:bidi="fa-IR"/>
        </w:rPr>
        <w:t>‌</w:t>
      </w:r>
      <w:r w:rsidR="00B352BE" w:rsidRPr="00B47843">
        <w:rPr>
          <w:rFonts w:hint="cs"/>
          <w:rtl/>
          <w:lang w:bidi="fa-IR"/>
        </w:rPr>
        <w:t>شود. چرا که طبق بند دو ماده پنج کنوانسیون، احراز این مبانی مستقیماً بر عهده قاضی بررسی کننده درخواست دستور اجرای رأی است.</w:t>
      </w:r>
      <w:r w:rsidR="00F4490E" w:rsidRPr="00B47843">
        <w:rPr>
          <w:rStyle w:val="FootnoteReference"/>
          <w:rtl/>
          <w:lang w:bidi="fa-IR"/>
        </w:rPr>
        <w:footnoteReference w:id="9"/>
      </w:r>
    </w:p>
    <w:p w:rsidR="000D27B9" w:rsidRPr="00B47843" w:rsidRDefault="000D27B9" w:rsidP="004C2DA3">
      <w:pPr>
        <w:bidi/>
        <w:ind w:firstLine="360"/>
        <w:jc w:val="mediumKashida"/>
        <w:rPr>
          <w:rtl/>
          <w:lang w:bidi="fa-IR"/>
        </w:rPr>
      </w:pPr>
      <w:r w:rsidRPr="00B47843">
        <w:rPr>
          <w:rFonts w:hint="cs"/>
          <w:rtl/>
          <w:lang w:bidi="fa-IR"/>
        </w:rPr>
        <w:t>از لحاظ عملی باید دانست که</w:t>
      </w:r>
      <w:r w:rsidR="0027152E" w:rsidRPr="00B47843">
        <w:rPr>
          <w:rFonts w:hint="cs"/>
          <w:rtl/>
          <w:lang w:bidi="fa-IR"/>
        </w:rPr>
        <w:t xml:space="preserve"> </w:t>
      </w:r>
      <w:r w:rsidRPr="00B47843">
        <w:rPr>
          <w:rFonts w:hint="cs"/>
          <w:rtl/>
          <w:lang w:bidi="fa-IR"/>
        </w:rPr>
        <w:t>آیین دادرسی محلی و به عبارت بهتر آیین اجرای کنوانسیون در کشورهای متعاهد، به سه گروه اصلی زیر قابل طبقه بندی است:</w:t>
      </w:r>
    </w:p>
    <w:p w:rsidR="000D27B9" w:rsidRPr="00B47843" w:rsidRDefault="001E7C94" w:rsidP="004C2DA3">
      <w:pPr>
        <w:pStyle w:val="ListParagraph"/>
        <w:bidi/>
        <w:ind w:left="0" w:firstLine="360"/>
        <w:jc w:val="mediumKashida"/>
        <w:rPr>
          <w:lang w:bidi="fa-IR"/>
        </w:rPr>
      </w:pPr>
      <w:r>
        <w:rPr>
          <w:rFonts w:hint="cs"/>
          <w:rtl/>
          <w:lang w:bidi="fa-IR"/>
        </w:rPr>
        <w:t xml:space="preserve">1- </w:t>
      </w:r>
      <w:r w:rsidR="000D27B9" w:rsidRPr="00B47843">
        <w:rPr>
          <w:rFonts w:hint="cs"/>
          <w:rtl/>
          <w:lang w:bidi="fa-IR"/>
        </w:rPr>
        <w:t>برخی کشورها، مقررات ویژه</w:t>
      </w:r>
      <w:r w:rsidR="001749C5">
        <w:rPr>
          <w:rFonts w:hint="cs"/>
          <w:rtl/>
          <w:lang w:bidi="fa-IR"/>
        </w:rPr>
        <w:t>‌</w:t>
      </w:r>
      <w:r w:rsidR="000D27B9" w:rsidRPr="00B47843">
        <w:rPr>
          <w:rFonts w:hint="cs"/>
          <w:rtl/>
          <w:lang w:bidi="fa-IR"/>
        </w:rPr>
        <w:t>ای را به عنوان آیین اجرای آرای مشمول کنوانسیون نیویورک در نظر گرفته</w:t>
      </w:r>
      <w:r w:rsidR="001749C5">
        <w:rPr>
          <w:rFonts w:hint="cs"/>
          <w:rtl/>
          <w:lang w:bidi="fa-IR"/>
        </w:rPr>
        <w:t>‌</w:t>
      </w:r>
      <w:r w:rsidR="000D27B9" w:rsidRPr="00B47843">
        <w:rPr>
          <w:rFonts w:hint="cs"/>
          <w:rtl/>
          <w:lang w:bidi="fa-IR"/>
        </w:rPr>
        <w:t>اند. کشورهای استرالیا، بوتسوانا، دانمارک، غنا، هند، سوئد، انگلستان، و ایالات متحده از این جمله</w:t>
      </w:r>
      <w:r w:rsidR="001749C5">
        <w:rPr>
          <w:rFonts w:hint="cs"/>
          <w:rtl/>
          <w:lang w:bidi="fa-IR"/>
        </w:rPr>
        <w:t>‌</w:t>
      </w:r>
      <w:r w:rsidR="000D27B9" w:rsidRPr="00B47843">
        <w:rPr>
          <w:rFonts w:hint="cs"/>
          <w:rtl/>
          <w:lang w:bidi="fa-IR"/>
        </w:rPr>
        <w:t>اند.</w:t>
      </w:r>
      <w:r w:rsidR="000D27B9" w:rsidRPr="00B47843">
        <w:rPr>
          <w:rStyle w:val="FootnoteReference"/>
          <w:rtl/>
          <w:lang w:bidi="fa-IR"/>
        </w:rPr>
        <w:footnoteReference w:id="10"/>
      </w:r>
    </w:p>
    <w:p w:rsidR="00BC6224" w:rsidRPr="00B47843" w:rsidRDefault="001E7C94" w:rsidP="004C2DA3">
      <w:pPr>
        <w:pStyle w:val="ListParagraph"/>
        <w:bidi/>
        <w:ind w:left="0" w:firstLine="360"/>
        <w:jc w:val="mediumKashida"/>
        <w:rPr>
          <w:lang w:bidi="fa-IR"/>
        </w:rPr>
      </w:pPr>
      <w:r>
        <w:rPr>
          <w:rFonts w:hint="cs"/>
          <w:rtl/>
          <w:lang w:bidi="fa-IR"/>
        </w:rPr>
        <w:t xml:space="preserve">2- </w:t>
      </w:r>
      <w:r w:rsidR="00BC6224" w:rsidRPr="00B47843">
        <w:rPr>
          <w:rFonts w:hint="cs"/>
          <w:rtl/>
          <w:lang w:bidi="fa-IR"/>
        </w:rPr>
        <w:t>بیشتر کشورهای متعاهد، آیین مقرر برای اجرای آرای داوری خارجی به طور کلی را در مورد آرای داوری مشمول کنوانسیون نیز اعمال می</w:t>
      </w:r>
      <w:r w:rsidR="001749C5">
        <w:rPr>
          <w:rFonts w:hint="cs"/>
          <w:rtl/>
          <w:lang w:bidi="fa-IR"/>
        </w:rPr>
        <w:t>‌</w:t>
      </w:r>
      <w:r w:rsidR="00BC6224" w:rsidRPr="00B47843">
        <w:rPr>
          <w:rFonts w:hint="cs"/>
          <w:rtl/>
          <w:lang w:bidi="fa-IR"/>
        </w:rPr>
        <w:t>کنند. این کشورها خود به دو گروه تقسیم می</w:t>
      </w:r>
      <w:r w:rsidR="001749C5">
        <w:rPr>
          <w:rFonts w:hint="cs"/>
          <w:rtl/>
          <w:lang w:bidi="fa-IR"/>
        </w:rPr>
        <w:t>‌</w:t>
      </w:r>
      <w:r w:rsidR="00BC6224" w:rsidRPr="00B47843">
        <w:rPr>
          <w:rFonts w:hint="cs"/>
          <w:rtl/>
          <w:lang w:bidi="fa-IR"/>
        </w:rPr>
        <w:t xml:space="preserve">شوند. در گروه اول مانند آلمان(ماده 1044 قانون آیین دادرسی قدیم و ماده 1062 قانون جدید) و یونان( ماده 903 قانون آیین دادرسی مدنی) مقررات خاصی برای اجرای آرای داوری خارجی وجود دارد. در گروه دوم مانند </w:t>
      </w:r>
      <w:r w:rsidR="00BC6224" w:rsidRPr="00B47843">
        <w:rPr>
          <w:rFonts w:hint="cs"/>
          <w:rtl/>
          <w:lang w:bidi="fa-IR"/>
        </w:rPr>
        <w:lastRenderedPageBreak/>
        <w:t>ایتالیا، مکزیک و هلند، آیین اجرای آرای داوری خارجی همان آیین اجرای احکام دادگاه</w:t>
      </w:r>
      <w:r w:rsidR="001749C5">
        <w:rPr>
          <w:rFonts w:hint="cs"/>
          <w:rtl/>
          <w:lang w:bidi="fa-IR"/>
        </w:rPr>
        <w:t>‌</w:t>
      </w:r>
      <w:r w:rsidR="00BC6224" w:rsidRPr="00B47843">
        <w:rPr>
          <w:rFonts w:hint="cs"/>
          <w:rtl/>
          <w:lang w:bidi="fa-IR"/>
        </w:rPr>
        <w:t>های خارجی است.</w:t>
      </w:r>
      <w:r w:rsidR="00BC6224" w:rsidRPr="00B47843">
        <w:rPr>
          <w:rStyle w:val="FootnoteReference"/>
          <w:rtl/>
          <w:lang w:bidi="fa-IR"/>
        </w:rPr>
        <w:footnoteReference w:id="11"/>
      </w:r>
    </w:p>
    <w:p w:rsidR="00BC6224" w:rsidRPr="00B47843" w:rsidRDefault="001E7C94" w:rsidP="004C2DA3">
      <w:pPr>
        <w:pStyle w:val="ListParagraph"/>
        <w:bidi/>
        <w:ind w:left="0" w:firstLine="360"/>
        <w:jc w:val="mediumKashida"/>
        <w:rPr>
          <w:lang w:bidi="fa-IR"/>
        </w:rPr>
      </w:pPr>
      <w:r>
        <w:rPr>
          <w:rFonts w:hint="cs"/>
          <w:rtl/>
          <w:lang w:bidi="fa-IR"/>
        </w:rPr>
        <w:t xml:space="preserve">3- </w:t>
      </w:r>
      <w:r w:rsidR="00BC6224" w:rsidRPr="00B47843">
        <w:rPr>
          <w:rFonts w:hint="cs"/>
          <w:rtl/>
          <w:lang w:bidi="fa-IR"/>
        </w:rPr>
        <w:t>در موارد نادر دیده شده است که برخی دول متعاهد، رأی مشمول کنوانسیون را یک رأی داخلی تلقی و به موجب آیین دادرسی مربوط به احکام داخلی، اجرا می</w:t>
      </w:r>
      <w:r w:rsidR="00BC6224" w:rsidRPr="00B47843">
        <w:rPr>
          <w:rtl/>
          <w:lang w:bidi="fa-IR"/>
        </w:rPr>
        <w:softHyphen/>
      </w:r>
      <w:r w:rsidR="00BC6224" w:rsidRPr="00B47843">
        <w:rPr>
          <w:rFonts w:hint="cs"/>
          <w:rtl/>
          <w:lang w:bidi="fa-IR"/>
        </w:rPr>
        <w:t>کنند. ژاپن جزو این دسته از کشورهاست.</w:t>
      </w:r>
      <w:r w:rsidR="00BC6224" w:rsidRPr="00B47843">
        <w:rPr>
          <w:rStyle w:val="FootnoteReference"/>
          <w:rtl/>
          <w:lang w:bidi="fa-IR"/>
        </w:rPr>
        <w:footnoteReference w:id="12"/>
      </w:r>
    </w:p>
    <w:p w:rsidR="0027152E" w:rsidRPr="00B47843" w:rsidRDefault="0027152E" w:rsidP="004C2DA3">
      <w:pPr>
        <w:bidi/>
        <w:ind w:firstLine="360"/>
        <w:jc w:val="mediumKashida"/>
        <w:rPr>
          <w:rtl/>
          <w:lang w:bidi="fa-IR"/>
        </w:rPr>
      </w:pPr>
      <w:r w:rsidRPr="00B47843">
        <w:rPr>
          <w:rFonts w:hint="cs"/>
          <w:rtl/>
          <w:lang w:bidi="fa-IR"/>
        </w:rPr>
        <w:t>در</w:t>
      </w:r>
      <w:r w:rsidR="00596E4C" w:rsidRPr="00B47843">
        <w:rPr>
          <w:rFonts w:hint="cs"/>
          <w:rtl/>
          <w:lang w:bidi="fa-IR"/>
        </w:rPr>
        <w:t xml:space="preserve"> پایان</w:t>
      </w:r>
      <w:r w:rsidRPr="00B47843">
        <w:rPr>
          <w:rFonts w:hint="cs"/>
          <w:rtl/>
          <w:lang w:bidi="fa-IR"/>
        </w:rPr>
        <w:t xml:space="preserve"> بحث از آیین اجرا در کنوانسیون نیویورک، توجه به دو نکته ضروری است:</w:t>
      </w:r>
    </w:p>
    <w:p w:rsidR="0027152E" w:rsidRPr="00B47843" w:rsidRDefault="001E7C94" w:rsidP="004C2DA3">
      <w:pPr>
        <w:pStyle w:val="ListParagraph"/>
        <w:bidi/>
        <w:ind w:left="0" w:firstLine="360"/>
        <w:jc w:val="mediumKashida"/>
        <w:rPr>
          <w:lang w:bidi="fa-IR"/>
        </w:rPr>
      </w:pPr>
      <w:r>
        <w:rPr>
          <w:rFonts w:hint="cs"/>
          <w:rtl/>
          <w:lang w:bidi="fa-IR"/>
        </w:rPr>
        <w:t xml:space="preserve">1- </w:t>
      </w:r>
      <w:r w:rsidR="0027152E" w:rsidRPr="00B47843">
        <w:rPr>
          <w:rFonts w:hint="cs"/>
          <w:rtl/>
          <w:lang w:bidi="fa-IR"/>
        </w:rPr>
        <w:t>مقصود از عبارت "شرایط سنگین</w:t>
      </w:r>
      <w:r w:rsidR="001749C5">
        <w:rPr>
          <w:rFonts w:hint="cs"/>
          <w:rtl/>
          <w:lang w:bidi="fa-IR"/>
        </w:rPr>
        <w:t>‌</w:t>
      </w:r>
      <w:r w:rsidR="0027152E" w:rsidRPr="00B47843">
        <w:rPr>
          <w:rFonts w:hint="cs"/>
          <w:rtl/>
          <w:lang w:bidi="fa-IR"/>
        </w:rPr>
        <w:t>تر" در ماده سه، شرایط شکلی و مربوط به آیین اجراست و الا شرایط و موانع شناسایی و اجرای آرای داوری مشمول کنوانسیون، همان است که در مواد چهار و پنج آمده است.</w:t>
      </w:r>
    </w:p>
    <w:p w:rsidR="0027152E" w:rsidRDefault="001E7C94" w:rsidP="004C2DA3">
      <w:pPr>
        <w:pStyle w:val="ListParagraph"/>
        <w:bidi/>
        <w:ind w:left="0" w:firstLine="360"/>
        <w:jc w:val="mediumKashida"/>
        <w:rPr>
          <w:lang w:bidi="fa-IR"/>
        </w:rPr>
      </w:pPr>
      <w:r>
        <w:rPr>
          <w:rFonts w:hint="cs"/>
          <w:rtl/>
          <w:lang w:bidi="fa-IR"/>
        </w:rPr>
        <w:t xml:space="preserve">2- </w:t>
      </w:r>
      <w:r w:rsidR="0027152E" w:rsidRPr="00B47843">
        <w:rPr>
          <w:rFonts w:hint="cs"/>
          <w:rtl/>
          <w:lang w:bidi="fa-IR"/>
        </w:rPr>
        <w:t>ماده سه می</w:t>
      </w:r>
      <w:r w:rsidR="001749C5">
        <w:rPr>
          <w:rFonts w:hint="cs"/>
          <w:rtl/>
          <w:lang w:bidi="fa-IR"/>
        </w:rPr>
        <w:t>‌</w:t>
      </w:r>
      <w:r w:rsidR="0027152E" w:rsidRPr="00B47843">
        <w:rPr>
          <w:rFonts w:hint="cs"/>
          <w:rtl/>
          <w:lang w:bidi="fa-IR"/>
        </w:rPr>
        <w:t>تواند مبنایی برای اعمال قانون آیین دادرسی مقر دادگاه نسبت به برخی ابعاد مسأله اجرا که در کنوانسیون مسکوت گذارده شده است، مانند مسأله ضمایم رأی، کشف دلیل، تهاتر یا دعوای متقابل در مقابل رأی، ورشکستگی یک طرف و ... باشد.</w:t>
      </w:r>
      <w:r w:rsidR="00373B11" w:rsidRPr="00B47843">
        <w:rPr>
          <w:rStyle w:val="FootnoteReference"/>
          <w:rtl/>
          <w:lang w:bidi="fa-IR"/>
        </w:rPr>
        <w:footnoteReference w:id="13"/>
      </w:r>
    </w:p>
    <w:p w:rsidR="0097095B" w:rsidRDefault="0097095B" w:rsidP="0097095B">
      <w:pPr>
        <w:pStyle w:val="ListParagraph"/>
        <w:bidi/>
        <w:ind w:left="0" w:firstLine="360"/>
        <w:jc w:val="mediumKashida"/>
        <w:rPr>
          <w:lang w:bidi="fa-IR"/>
        </w:rPr>
      </w:pPr>
    </w:p>
    <w:p w:rsidR="0097095B" w:rsidRDefault="0097095B" w:rsidP="0097095B">
      <w:pPr>
        <w:pStyle w:val="ListParagraph"/>
        <w:bidi/>
        <w:ind w:left="0" w:firstLine="360"/>
        <w:jc w:val="mediumKashida"/>
        <w:rPr>
          <w:lang w:bidi="fa-IR"/>
        </w:rPr>
      </w:pPr>
    </w:p>
    <w:p w:rsidR="0097095B" w:rsidRDefault="0097095B" w:rsidP="0097095B">
      <w:pPr>
        <w:pStyle w:val="ListParagraph"/>
        <w:bidi/>
        <w:ind w:left="0" w:firstLine="360"/>
        <w:jc w:val="mediumKashida"/>
        <w:rPr>
          <w:rtl/>
          <w:lang w:bidi="fa-IR"/>
        </w:rPr>
      </w:pPr>
    </w:p>
    <w:p w:rsidR="001749C5" w:rsidRPr="00B47843" w:rsidRDefault="001749C5" w:rsidP="004C2DA3">
      <w:pPr>
        <w:pStyle w:val="ListParagraph"/>
        <w:bidi/>
        <w:ind w:left="0" w:firstLine="360"/>
        <w:jc w:val="mediumKashida"/>
        <w:rPr>
          <w:lang w:bidi="fa-IR"/>
        </w:rPr>
      </w:pPr>
    </w:p>
    <w:p w:rsidR="009414F8" w:rsidRDefault="00EE1516" w:rsidP="00C34789">
      <w:pPr>
        <w:pStyle w:val="Heading4"/>
      </w:pPr>
      <w:r w:rsidRPr="00EE1516">
        <w:rPr>
          <w:rFonts w:hint="cs"/>
          <w:rtl/>
        </w:rPr>
        <w:lastRenderedPageBreak/>
        <w:t>2-1-2)</w:t>
      </w:r>
      <w:r w:rsidR="000369C2" w:rsidRPr="00EE1516">
        <w:rPr>
          <w:rFonts w:hint="cs"/>
          <w:rtl/>
        </w:rPr>
        <w:t xml:space="preserve"> </w:t>
      </w:r>
      <w:r w:rsidR="00600A6A" w:rsidRPr="00EE1516">
        <w:rPr>
          <w:rFonts w:hint="cs"/>
          <w:rtl/>
        </w:rPr>
        <w:t>کشورهای تابع نظام حقوقی رومی-ژرمنی</w:t>
      </w:r>
    </w:p>
    <w:p w:rsidR="001C4F41" w:rsidRPr="001C4F41" w:rsidRDefault="001C4F41" w:rsidP="001C4F41">
      <w:pPr>
        <w:rPr>
          <w:rtl/>
          <w:lang w:bidi="fa-IR"/>
        </w:rPr>
      </w:pPr>
    </w:p>
    <w:p w:rsidR="00C86580" w:rsidRPr="00B47843" w:rsidRDefault="00810294" w:rsidP="004C2DA3">
      <w:pPr>
        <w:bidi/>
        <w:ind w:firstLine="360"/>
        <w:jc w:val="mediumKashida"/>
        <w:rPr>
          <w:rtl/>
          <w:lang w:bidi="fa-IR"/>
        </w:rPr>
      </w:pPr>
      <w:r w:rsidRPr="00B47843">
        <w:rPr>
          <w:rFonts w:hint="cs"/>
          <w:rtl/>
          <w:lang w:bidi="fa-IR"/>
        </w:rPr>
        <w:t>آنچه به طور کلی در مورد کشورهای خانواده حقوق رومی-ژرمنی می</w:t>
      </w:r>
      <w:r w:rsidR="001749C5">
        <w:rPr>
          <w:rFonts w:hint="cs"/>
          <w:rtl/>
          <w:lang w:bidi="fa-IR"/>
        </w:rPr>
        <w:t>‌</w:t>
      </w:r>
      <w:r w:rsidRPr="00B47843">
        <w:rPr>
          <w:rFonts w:hint="cs"/>
          <w:rtl/>
          <w:lang w:bidi="fa-IR"/>
        </w:rPr>
        <w:t>توان گفت، تفاوت آیین اجرا و رواج هر دو شیوه اصلی و متفاوت مربوط به اجرای آرای داوری خارجی در کشورهای این خانواده است. چرا که برخی از این کشورها مانند هلند، ایتالیا و اسپانیا از شیوه تشبیه آرای داوری خارجی به احکام دادگاه</w:t>
      </w:r>
      <w:r w:rsidR="001749C5">
        <w:rPr>
          <w:rFonts w:hint="cs"/>
          <w:rtl/>
          <w:lang w:bidi="fa-IR"/>
        </w:rPr>
        <w:t>‌</w:t>
      </w:r>
      <w:r w:rsidRPr="00B47843">
        <w:rPr>
          <w:rFonts w:hint="cs"/>
          <w:rtl/>
          <w:lang w:bidi="fa-IR"/>
        </w:rPr>
        <w:t>های خارجی و تسری آیین اجرای گروه اخیر به دسته اول استفاده کرده</w:t>
      </w:r>
      <w:r w:rsidR="001749C5">
        <w:rPr>
          <w:rFonts w:hint="cs"/>
          <w:rtl/>
          <w:lang w:bidi="fa-IR"/>
        </w:rPr>
        <w:t>‌</w:t>
      </w:r>
      <w:r w:rsidRPr="00B47843">
        <w:rPr>
          <w:rFonts w:hint="cs"/>
          <w:rtl/>
          <w:lang w:bidi="fa-IR"/>
        </w:rPr>
        <w:t>اند و برخی دیگر مانند آلمان، اتریش، فرانسه و بلژیک از روش تشبیه آرای داوری خارجی به آرای داوری ملی و نظام نسبتاً یکنواخت اجرای آرای داوری ملی و خارجی سود برده</w:t>
      </w:r>
      <w:r w:rsidR="001749C5">
        <w:rPr>
          <w:rFonts w:hint="cs"/>
          <w:rtl/>
          <w:lang w:bidi="fa-IR"/>
        </w:rPr>
        <w:t>‌</w:t>
      </w:r>
      <w:r w:rsidRPr="00B47843">
        <w:rPr>
          <w:rFonts w:hint="cs"/>
          <w:rtl/>
          <w:lang w:bidi="fa-IR"/>
        </w:rPr>
        <w:t>اند. با این وصف، جرح و تعدیل</w:t>
      </w:r>
      <w:r w:rsidR="001749C5">
        <w:rPr>
          <w:rFonts w:hint="cs"/>
          <w:rtl/>
          <w:lang w:bidi="fa-IR"/>
        </w:rPr>
        <w:t>‌</w:t>
      </w:r>
      <w:r w:rsidRPr="00B47843">
        <w:rPr>
          <w:rFonts w:hint="cs"/>
          <w:rtl/>
          <w:lang w:bidi="fa-IR"/>
        </w:rPr>
        <w:t>هایی که امکان انطباق مطلوب آیین</w:t>
      </w:r>
      <w:r w:rsidR="001749C5">
        <w:rPr>
          <w:rFonts w:hint="cs"/>
          <w:rtl/>
          <w:lang w:bidi="fa-IR"/>
        </w:rPr>
        <w:t>‌</w:t>
      </w:r>
      <w:r w:rsidRPr="00B47843">
        <w:rPr>
          <w:rFonts w:hint="cs"/>
          <w:rtl/>
          <w:lang w:bidi="fa-IR"/>
        </w:rPr>
        <w:t>های اجرایی مزبور نسبت به آرای داوری خارجی را به وجود آورد، گریز ناپذی</w:t>
      </w:r>
      <w:r w:rsidRPr="00B47843">
        <w:rPr>
          <w:rFonts w:hint="eastAsia"/>
          <w:rtl/>
          <w:lang w:bidi="fa-IR"/>
        </w:rPr>
        <w:t>ر</w:t>
      </w:r>
      <w:r w:rsidRPr="00B47843">
        <w:rPr>
          <w:rFonts w:hint="cs"/>
          <w:rtl/>
          <w:lang w:bidi="fa-IR"/>
        </w:rPr>
        <w:t xml:space="preserve"> می</w:t>
      </w:r>
      <w:r w:rsidR="001749C5">
        <w:rPr>
          <w:rFonts w:hint="cs"/>
          <w:rtl/>
          <w:lang w:bidi="fa-IR"/>
        </w:rPr>
        <w:t>‌</w:t>
      </w:r>
      <w:r w:rsidRPr="00B47843">
        <w:rPr>
          <w:rFonts w:hint="cs"/>
          <w:rtl/>
          <w:lang w:bidi="fa-IR"/>
        </w:rPr>
        <w:t xml:space="preserve">نموده است. در آلمان </w:t>
      </w:r>
      <w:r w:rsidR="002768CE" w:rsidRPr="00B47843">
        <w:rPr>
          <w:rFonts w:hint="cs"/>
          <w:rtl/>
          <w:lang w:bidi="fa-IR"/>
        </w:rPr>
        <w:t>برخلاف آرای داوری داخلی، مسأله تسلیم یا تودیع رأی خارجی به دادگاه ضروری تلقی نشده است. در بلژیک با توجه به عدم امکان انتقال نظارت قضایی به مرحله رسیدگی</w:t>
      </w:r>
      <w:r w:rsidR="001749C5">
        <w:rPr>
          <w:rFonts w:hint="cs"/>
          <w:rtl/>
          <w:lang w:bidi="fa-IR"/>
        </w:rPr>
        <w:t>‌</w:t>
      </w:r>
      <w:r w:rsidR="002768CE" w:rsidRPr="00B47843">
        <w:rPr>
          <w:rFonts w:hint="cs"/>
          <w:rtl/>
          <w:lang w:bidi="fa-IR"/>
        </w:rPr>
        <w:t>های ابطال در مورد آرای داوری خارجی، به محض آغاز مرحله نخستین رسیدگی</w:t>
      </w:r>
      <w:r w:rsidR="001749C5">
        <w:rPr>
          <w:rFonts w:hint="cs"/>
          <w:rtl/>
          <w:lang w:bidi="fa-IR"/>
        </w:rPr>
        <w:t>‌</w:t>
      </w:r>
      <w:r w:rsidR="002768CE" w:rsidRPr="00B47843">
        <w:rPr>
          <w:rFonts w:hint="cs"/>
          <w:rtl/>
          <w:lang w:bidi="fa-IR"/>
        </w:rPr>
        <w:t>های اجرایی، با وسعت بخشیدن به میزان نظارت قضایی، اجازه داده شده است که دادرسی شکل ترافعی به خود بگیرد. در مقام اعمال این جرح و تعدیل</w:t>
      </w:r>
      <w:r w:rsidR="001749C5">
        <w:rPr>
          <w:rFonts w:hint="cs"/>
          <w:rtl/>
          <w:lang w:bidi="fa-IR"/>
        </w:rPr>
        <w:t>‌</w:t>
      </w:r>
      <w:r w:rsidR="002768CE" w:rsidRPr="00B47843">
        <w:rPr>
          <w:rFonts w:hint="cs"/>
          <w:rtl/>
          <w:lang w:bidi="fa-IR"/>
        </w:rPr>
        <w:t>ها، به ویژه، امکان طرح اعتراض به صورت اصلی علیه دستور اجرا، پذیرفته شده است. مثلاً در بلژیک این دعوای اصلی به صورت اعتراض</w:t>
      </w:r>
      <w:r w:rsidR="002768CE" w:rsidRPr="00B47843">
        <w:rPr>
          <w:rStyle w:val="FootnoteReference"/>
          <w:rtl/>
          <w:lang w:bidi="fa-IR"/>
        </w:rPr>
        <w:footnoteReference w:id="14"/>
      </w:r>
      <w:r w:rsidRPr="00B47843">
        <w:rPr>
          <w:rFonts w:hint="cs"/>
          <w:rtl/>
          <w:lang w:bidi="fa-IR"/>
        </w:rPr>
        <w:t xml:space="preserve"> </w:t>
      </w:r>
      <w:r w:rsidR="002768CE" w:rsidRPr="00B47843">
        <w:rPr>
          <w:rFonts w:hint="cs"/>
          <w:rtl/>
          <w:lang w:bidi="fa-IR"/>
        </w:rPr>
        <w:t xml:space="preserve"> و در فرانسه به صورت پژوهش</w:t>
      </w:r>
      <w:r w:rsidR="001749C5">
        <w:rPr>
          <w:rFonts w:hint="cs"/>
          <w:rtl/>
          <w:lang w:bidi="fa-IR"/>
        </w:rPr>
        <w:t>‌</w:t>
      </w:r>
      <w:r w:rsidR="002768CE" w:rsidRPr="00B47843">
        <w:rPr>
          <w:rFonts w:hint="cs"/>
          <w:rtl/>
          <w:lang w:bidi="fa-IR"/>
        </w:rPr>
        <w:t>خواهی</w:t>
      </w:r>
      <w:r w:rsidR="002768CE" w:rsidRPr="00B47843">
        <w:rPr>
          <w:rStyle w:val="FootnoteReference"/>
          <w:rtl/>
          <w:lang w:bidi="fa-IR"/>
        </w:rPr>
        <w:footnoteReference w:id="15"/>
      </w:r>
      <w:r w:rsidR="002768CE" w:rsidRPr="00B47843">
        <w:rPr>
          <w:rFonts w:hint="cs"/>
          <w:rtl/>
          <w:lang w:bidi="fa-IR"/>
        </w:rPr>
        <w:t xml:space="preserve"> از دستور اجراست.</w:t>
      </w:r>
      <w:r w:rsidR="002768CE" w:rsidRPr="00B47843">
        <w:rPr>
          <w:rStyle w:val="FootnoteReference"/>
          <w:rtl/>
          <w:lang w:bidi="fa-IR"/>
        </w:rPr>
        <w:footnoteReference w:id="16"/>
      </w:r>
    </w:p>
    <w:p w:rsidR="00600A6A" w:rsidRPr="00B47843" w:rsidRDefault="00C86580" w:rsidP="004C2DA3">
      <w:pPr>
        <w:bidi/>
        <w:ind w:firstLine="360"/>
        <w:jc w:val="mediumKashida"/>
        <w:rPr>
          <w:rtl/>
          <w:lang w:bidi="fa-IR"/>
        </w:rPr>
      </w:pPr>
      <w:r w:rsidRPr="00B47843">
        <w:rPr>
          <w:rFonts w:hint="cs"/>
          <w:rtl/>
          <w:lang w:bidi="fa-IR"/>
        </w:rPr>
        <w:lastRenderedPageBreak/>
        <w:t>در کشورهایی چون ایتالیا که رأی داوری خارجی به حکم دادگاه خارجی تشبیه شده، این جرح و تعدیل</w:t>
      </w:r>
      <w:r w:rsidR="001749C5">
        <w:rPr>
          <w:rFonts w:hint="cs"/>
          <w:rtl/>
          <w:lang w:bidi="fa-IR"/>
        </w:rPr>
        <w:t>‌</w:t>
      </w:r>
      <w:r w:rsidRPr="00B47843">
        <w:rPr>
          <w:rFonts w:hint="cs"/>
          <w:rtl/>
          <w:lang w:bidi="fa-IR"/>
        </w:rPr>
        <w:t>ها با لحاظ تفاوت</w:t>
      </w:r>
      <w:r w:rsidR="003C35AD">
        <w:rPr>
          <w:rFonts w:hint="cs"/>
          <w:rtl/>
          <w:lang w:bidi="fa-IR"/>
        </w:rPr>
        <w:t>‌های موجود بین رأی داوری</w:t>
      </w:r>
      <w:r w:rsidRPr="00B47843">
        <w:rPr>
          <w:rFonts w:hint="cs"/>
          <w:rtl/>
          <w:lang w:bidi="fa-IR"/>
        </w:rPr>
        <w:t xml:space="preserve"> و حکم دادگاه به وجود آمده است که نمونه بارز آن موارد پیش</w:t>
      </w:r>
      <w:r w:rsidR="001749C5">
        <w:rPr>
          <w:rFonts w:hint="cs"/>
          <w:rtl/>
          <w:lang w:bidi="fa-IR"/>
        </w:rPr>
        <w:t>‌</w:t>
      </w:r>
      <w:r w:rsidRPr="00B47843">
        <w:rPr>
          <w:rFonts w:hint="cs"/>
          <w:rtl/>
          <w:lang w:bidi="fa-IR"/>
        </w:rPr>
        <w:t>بینی شده جهت بازنگری مسائل ماهوی به هدف شناسایی و اجرای احکام دادگاه</w:t>
      </w:r>
      <w:r w:rsidR="001749C5">
        <w:rPr>
          <w:rFonts w:hint="cs"/>
          <w:rtl/>
          <w:lang w:bidi="fa-IR"/>
        </w:rPr>
        <w:t>‌</w:t>
      </w:r>
      <w:r w:rsidRPr="00B47843">
        <w:rPr>
          <w:rFonts w:hint="cs"/>
          <w:rtl/>
          <w:lang w:bidi="fa-IR"/>
        </w:rPr>
        <w:t>های خارجی در فرض اعمال نسبت به آرای داوری خارجی است.</w:t>
      </w:r>
      <w:r w:rsidRPr="00B47843">
        <w:rPr>
          <w:rStyle w:val="FootnoteReference"/>
          <w:rtl/>
          <w:lang w:bidi="fa-IR"/>
        </w:rPr>
        <w:footnoteReference w:id="17"/>
      </w:r>
    </w:p>
    <w:p w:rsidR="00FC1E7C" w:rsidRDefault="00FC1E7C" w:rsidP="004C2DA3">
      <w:pPr>
        <w:bidi/>
        <w:ind w:firstLine="360"/>
        <w:jc w:val="mediumKashida"/>
        <w:rPr>
          <w:lang w:bidi="fa-IR"/>
        </w:rPr>
      </w:pPr>
      <w:r w:rsidRPr="00B47843">
        <w:rPr>
          <w:rFonts w:hint="cs"/>
          <w:rtl/>
          <w:lang w:bidi="fa-IR"/>
        </w:rPr>
        <w:t xml:space="preserve">پس از به دست آوردن این دیدگاه کلی نسبت به کشورهای خانواده رومی-ژرمنی، برای </w:t>
      </w:r>
      <w:r w:rsidR="005E5D71" w:rsidRPr="00B47843">
        <w:rPr>
          <w:rFonts w:hint="cs"/>
          <w:rtl/>
          <w:lang w:bidi="fa-IR"/>
        </w:rPr>
        <w:t>نمونه به رژیم اجرای آرای داوری خارجی در دو کشور ایتالیا و فرانسه، به عنوان نماینده</w:t>
      </w:r>
      <w:r w:rsidR="001749C5">
        <w:rPr>
          <w:rFonts w:hint="cs"/>
          <w:rtl/>
          <w:lang w:bidi="fa-IR"/>
        </w:rPr>
        <w:t>‌</w:t>
      </w:r>
      <w:r w:rsidR="005E5D71" w:rsidRPr="00B47843">
        <w:rPr>
          <w:rFonts w:hint="cs"/>
          <w:rtl/>
          <w:lang w:bidi="fa-IR"/>
        </w:rPr>
        <w:t>ای از دو گروه مذکور در نظام حقوقی رومی-ژرمنی، پرداخته خواهد شد:</w:t>
      </w:r>
    </w:p>
    <w:p w:rsidR="00C91664" w:rsidRPr="00B47843" w:rsidRDefault="00C91664" w:rsidP="00C91664">
      <w:pPr>
        <w:bidi/>
        <w:ind w:firstLine="360"/>
        <w:jc w:val="mediumKashida"/>
        <w:rPr>
          <w:rtl/>
          <w:lang w:bidi="fa-IR"/>
        </w:rPr>
      </w:pPr>
    </w:p>
    <w:p w:rsidR="005E5D71" w:rsidRDefault="00EE1516" w:rsidP="00C34789">
      <w:pPr>
        <w:pStyle w:val="Heading4"/>
      </w:pPr>
      <w:r>
        <w:rPr>
          <w:rFonts w:hint="cs"/>
          <w:rtl/>
        </w:rPr>
        <w:t>2-1-2-الف) ا</w:t>
      </w:r>
      <w:r w:rsidR="005E5D71" w:rsidRPr="00EE1516">
        <w:rPr>
          <w:rFonts w:hint="cs"/>
          <w:rtl/>
        </w:rPr>
        <w:t>یتالیا</w:t>
      </w:r>
    </w:p>
    <w:p w:rsidR="00C91664" w:rsidRPr="00C91664" w:rsidRDefault="00C91664" w:rsidP="00C91664">
      <w:pPr>
        <w:rPr>
          <w:rtl/>
          <w:lang w:bidi="fa-IR"/>
        </w:rPr>
      </w:pPr>
    </w:p>
    <w:p w:rsidR="005E5D71" w:rsidRPr="00B47843" w:rsidRDefault="007A6FD7" w:rsidP="004C2DA3">
      <w:pPr>
        <w:bidi/>
        <w:ind w:firstLine="360"/>
        <w:jc w:val="mediumKashida"/>
        <w:rPr>
          <w:rtl/>
          <w:lang w:bidi="fa-IR"/>
        </w:rPr>
      </w:pPr>
      <w:r w:rsidRPr="00B47843">
        <w:rPr>
          <w:rFonts w:hint="cs"/>
          <w:rtl/>
          <w:lang w:bidi="fa-IR"/>
        </w:rPr>
        <w:t>در ایتالیا، کسی که خواهان تحصیل اثر حکم دادگاه برای رأی داوری خارجی است، باید رسیدگی قضایی مربوط به شناسایی رأی را نزد دادگاه پژوهش محلی که اثر حکم دادگاه را در آنجا می</w:t>
      </w:r>
      <w:r w:rsidR="005F7BE7">
        <w:rPr>
          <w:rFonts w:hint="cs"/>
          <w:rtl/>
          <w:lang w:bidi="fa-IR"/>
        </w:rPr>
        <w:t>‌</w:t>
      </w:r>
      <w:r w:rsidRPr="00B47843">
        <w:rPr>
          <w:rFonts w:hint="cs"/>
          <w:rtl/>
          <w:lang w:bidi="fa-IR"/>
        </w:rPr>
        <w:t>خواهد، آغاز کند(ماده 796 ق.آ.د.م. ایتالیا). دادگاه پس از احراز وجود شرایط لازم (موضوع ماده 797)، رأی خارجی را قطعی و قابل اجرا در کشور اعلام می</w:t>
      </w:r>
      <w:r w:rsidR="004701BA">
        <w:rPr>
          <w:rFonts w:hint="cs"/>
          <w:rtl/>
          <w:lang w:bidi="fa-IR"/>
        </w:rPr>
        <w:t>‌</w:t>
      </w:r>
      <w:r w:rsidRPr="00B47843">
        <w:rPr>
          <w:rFonts w:hint="cs"/>
          <w:rtl/>
          <w:lang w:bidi="fa-IR"/>
        </w:rPr>
        <w:t>کند. تا آنجا که به هدف اجرا مربوط می</w:t>
      </w:r>
      <w:r w:rsidR="004701BA">
        <w:rPr>
          <w:rFonts w:hint="cs"/>
          <w:rtl/>
          <w:lang w:bidi="fa-IR"/>
        </w:rPr>
        <w:t>‌</w:t>
      </w:r>
      <w:r w:rsidRPr="00B47843">
        <w:rPr>
          <w:rFonts w:hint="cs"/>
          <w:rtl/>
          <w:lang w:bidi="fa-IR"/>
        </w:rPr>
        <w:t xml:space="preserve">شود، سند قابل اجرا </w:t>
      </w:r>
      <w:r w:rsidRPr="00B47843">
        <w:rPr>
          <w:rFonts w:hint="cs"/>
          <w:rtl/>
          <w:lang w:bidi="fa-IR"/>
        </w:rPr>
        <w:lastRenderedPageBreak/>
        <w:t>عبارت است از رأی داوری خارجی و حکم صادره به وسیله دادگاه پژوهش که مؤثر و قابل اجرا بودن رأی مزبور را اعلام کند.</w:t>
      </w:r>
      <w:r w:rsidRPr="00B47843">
        <w:rPr>
          <w:rStyle w:val="FootnoteReference"/>
          <w:rtl/>
          <w:lang w:bidi="fa-IR"/>
        </w:rPr>
        <w:footnoteReference w:id="18"/>
      </w:r>
    </w:p>
    <w:p w:rsidR="007A6FD7" w:rsidRPr="00B47843" w:rsidRDefault="00014755" w:rsidP="004C2DA3">
      <w:pPr>
        <w:bidi/>
        <w:ind w:firstLine="360"/>
        <w:jc w:val="mediumKashida"/>
        <w:rPr>
          <w:rtl/>
          <w:lang w:bidi="fa-IR"/>
        </w:rPr>
      </w:pPr>
      <w:r w:rsidRPr="00B47843">
        <w:rPr>
          <w:rFonts w:hint="cs"/>
          <w:rtl/>
          <w:lang w:bidi="fa-IR"/>
        </w:rPr>
        <w:t>انتخاب شیوه تشبیه آرای داوری خارجی به احکام دادگاه</w:t>
      </w:r>
      <w:r w:rsidR="004701BA">
        <w:rPr>
          <w:rFonts w:hint="cs"/>
          <w:rtl/>
          <w:lang w:bidi="fa-IR"/>
        </w:rPr>
        <w:t>‌</w:t>
      </w:r>
      <w:r w:rsidRPr="00B47843">
        <w:rPr>
          <w:rFonts w:hint="cs"/>
          <w:rtl/>
          <w:lang w:bidi="fa-IR"/>
        </w:rPr>
        <w:t>های خارجی در ایتالیا موجب شده است که مقررات مربوط به شناسایی و اجرای احکام محاکم خارجی، البته با همه جرح و تعدیل</w:t>
      </w:r>
      <w:r w:rsidR="004701BA">
        <w:rPr>
          <w:rFonts w:hint="cs"/>
          <w:rtl/>
          <w:lang w:bidi="fa-IR"/>
        </w:rPr>
        <w:t>‌</w:t>
      </w:r>
      <w:r w:rsidRPr="00B47843">
        <w:rPr>
          <w:rFonts w:hint="cs"/>
          <w:rtl/>
          <w:lang w:bidi="fa-IR"/>
        </w:rPr>
        <w:t>های ناشی از تفاوت</w:t>
      </w:r>
      <w:r w:rsidR="004701BA">
        <w:rPr>
          <w:rFonts w:hint="cs"/>
          <w:rtl/>
          <w:lang w:bidi="fa-IR"/>
        </w:rPr>
        <w:t>‌</w:t>
      </w:r>
      <w:r w:rsidRPr="00B47843">
        <w:rPr>
          <w:rFonts w:hint="cs"/>
          <w:rtl/>
          <w:lang w:bidi="fa-IR"/>
        </w:rPr>
        <w:t>های موجود بین رأی داوری و حکم دادگاه، در موارد مقتضی به وحدت ملاک نسبت به آرای داوری خارجی نیز اعمال شود. از جمله مهمترین این مقررات، مواردی است که در آنها امکان بازنگری ماهوی حکم دادگاه خارجی جهت شناسایی و اجرا پیش</w:t>
      </w:r>
      <w:r w:rsidR="004701BA">
        <w:rPr>
          <w:rFonts w:hint="cs"/>
          <w:rtl/>
          <w:lang w:bidi="fa-IR"/>
        </w:rPr>
        <w:t>‌</w:t>
      </w:r>
      <w:r w:rsidRPr="00B47843">
        <w:rPr>
          <w:rFonts w:hint="cs"/>
          <w:rtl/>
          <w:lang w:bidi="fa-IR"/>
        </w:rPr>
        <w:t>بینی شده و همان طور که گفته شد، با تعدیل و تطبیق، به آرای داوری خارجی هم تسری می</w:t>
      </w:r>
      <w:r w:rsidR="004701BA">
        <w:rPr>
          <w:rFonts w:hint="cs"/>
          <w:rtl/>
          <w:lang w:bidi="fa-IR"/>
        </w:rPr>
        <w:t>‌</w:t>
      </w:r>
      <w:r w:rsidRPr="00B47843">
        <w:rPr>
          <w:rFonts w:hint="cs"/>
          <w:rtl/>
          <w:lang w:bidi="fa-IR"/>
        </w:rPr>
        <w:t>یابد. اهم این موارد عبارت</w:t>
      </w:r>
      <w:r w:rsidRPr="00B47843">
        <w:rPr>
          <w:rtl/>
          <w:lang w:bidi="fa-IR"/>
        </w:rPr>
        <w:softHyphen/>
      </w:r>
      <w:r w:rsidRPr="00B47843">
        <w:rPr>
          <w:rFonts w:hint="cs"/>
          <w:rtl/>
          <w:lang w:bidi="fa-IR"/>
        </w:rPr>
        <w:t>اند از: غیابی بودن رأی، عدم صلاحیت دادگاه خارجی مطابق آیین دادرسی ایتالیا، عدم ابلاغ احضاریه</w:t>
      </w:r>
      <w:r w:rsidR="004701BA">
        <w:rPr>
          <w:rFonts w:hint="cs"/>
          <w:rtl/>
          <w:lang w:bidi="fa-IR"/>
        </w:rPr>
        <w:t>‌</w:t>
      </w:r>
      <w:r w:rsidRPr="00B47843">
        <w:rPr>
          <w:rFonts w:hint="cs"/>
          <w:rtl/>
          <w:lang w:bidi="fa-IR"/>
        </w:rPr>
        <w:t>ها مطابق حقوق کشور محل رسیدگی، عدم اعطای مهلت کافی جهت حضور طرفین یا عدم حضور آنان مطابق قوانین کشور محل رسیدگی، نهایی نبودن حکم در کشور محل صدور و یا جریان رسیدگی قضایی نزد دادگاه ایتالیایی، بین همان اصحاب دعوی و راجع به همان موضوع که در حکم خارجی نهایی اعلام شده</w:t>
      </w:r>
      <w:r w:rsidR="00E467B6" w:rsidRPr="00B47843">
        <w:rPr>
          <w:rFonts w:hint="cs"/>
          <w:rtl/>
          <w:lang w:bidi="fa-IR"/>
        </w:rPr>
        <w:t xml:space="preserve"> است.</w:t>
      </w:r>
      <w:r w:rsidR="00154FA4" w:rsidRPr="00B47843">
        <w:rPr>
          <w:rStyle w:val="FootnoteReference"/>
          <w:rtl/>
          <w:lang w:bidi="fa-IR"/>
        </w:rPr>
        <w:footnoteReference w:id="19"/>
      </w:r>
    </w:p>
    <w:p w:rsidR="007A6FD7" w:rsidRDefault="00117407" w:rsidP="004C2DA3">
      <w:pPr>
        <w:bidi/>
        <w:ind w:firstLine="360"/>
        <w:jc w:val="mediumKashida"/>
        <w:rPr>
          <w:lang w:bidi="fa-IR"/>
        </w:rPr>
      </w:pPr>
      <w:r w:rsidRPr="00B47843">
        <w:rPr>
          <w:rFonts w:hint="cs"/>
          <w:rtl/>
          <w:lang w:bidi="fa-IR"/>
        </w:rPr>
        <w:t>تصمیم دادگاه پژوهش در مورد صدور دستور اجرا یا امتناع از صدور، نزد دیوان تمیز قابل اعتراض است؛ به علاوه، در صورت جمع شرایط لازم، می</w:t>
      </w:r>
      <w:r w:rsidR="005F7BE7">
        <w:rPr>
          <w:rFonts w:hint="cs"/>
          <w:rtl/>
          <w:lang w:bidi="fa-IR"/>
        </w:rPr>
        <w:t>‌</w:t>
      </w:r>
      <w:r w:rsidRPr="00B47843">
        <w:rPr>
          <w:rFonts w:hint="cs"/>
          <w:rtl/>
          <w:lang w:bidi="fa-IR"/>
        </w:rPr>
        <w:t>توان نسبت به این تصمیم درخواست رسیدگی مجدد نمود (ماده 395 ق.آ.د.م. ایتالیا).</w:t>
      </w:r>
      <w:r w:rsidRPr="00B47843">
        <w:rPr>
          <w:rStyle w:val="FootnoteReference"/>
          <w:rtl/>
          <w:lang w:bidi="fa-IR"/>
        </w:rPr>
        <w:footnoteReference w:id="20"/>
      </w:r>
    </w:p>
    <w:p w:rsidR="0097095B" w:rsidRDefault="0097095B" w:rsidP="0097095B">
      <w:pPr>
        <w:bidi/>
        <w:ind w:firstLine="360"/>
        <w:jc w:val="mediumKashida"/>
        <w:rPr>
          <w:lang w:bidi="fa-IR"/>
        </w:rPr>
      </w:pPr>
    </w:p>
    <w:p w:rsidR="00C91664" w:rsidRPr="00B47843" w:rsidRDefault="00C91664" w:rsidP="00C91664">
      <w:pPr>
        <w:bidi/>
        <w:ind w:firstLine="360"/>
        <w:jc w:val="mediumKashida"/>
        <w:rPr>
          <w:rtl/>
          <w:lang w:bidi="fa-IR"/>
        </w:rPr>
      </w:pPr>
    </w:p>
    <w:p w:rsidR="00B42CA9" w:rsidRDefault="00EE1516" w:rsidP="00C34789">
      <w:pPr>
        <w:pStyle w:val="Heading4"/>
      </w:pPr>
      <w:r>
        <w:rPr>
          <w:rFonts w:hint="cs"/>
          <w:rtl/>
        </w:rPr>
        <w:t>2-1-2-ب) فرا</w:t>
      </w:r>
      <w:r w:rsidR="00B42CA9" w:rsidRPr="00EE1516">
        <w:rPr>
          <w:rFonts w:hint="cs"/>
          <w:rtl/>
        </w:rPr>
        <w:t>نسه</w:t>
      </w:r>
    </w:p>
    <w:p w:rsidR="00C91664" w:rsidRPr="00C91664" w:rsidRDefault="00C91664" w:rsidP="00C91664">
      <w:pPr>
        <w:rPr>
          <w:rtl/>
          <w:lang w:bidi="fa-IR"/>
        </w:rPr>
      </w:pPr>
    </w:p>
    <w:p w:rsidR="00930601" w:rsidRPr="00B47843" w:rsidRDefault="00571CAE" w:rsidP="004C2DA3">
      <w:pPr>
        <w:bidi/>
        <w:ind w:firstLine="360"/>
        <w:jc w:val="mediumKashida"/>
        <w:rPr>
          <w:rtl/>
          <w:lang w:bidi="fa-IR"/>
        </w:rPr>
      </w:pPr>
      <w:r w:rsidRPr="00B47843">
        <w:rPr>
          <w:rFonts w:hint="cs"/>
          <w:rtl/>
          <w:lang w:bidi="fa-IR"/>
        </w:rPr>
        <w:t>در فرانسه مقنن با تصویبنامه  12 مه 1981 که در قانون آیین دادرسی مدنی این کشور ادغام شده است، برای رأی داوری "غیر فرانسوی"</w:t>
      </w:r>
      <w:r w:rsidRPr="00B47843">
        <w:rPr>
          <w:rStyle w:val="FootnoteReference"/>
          <w:rtl/>
          <w:lang w:bidi="fa-IR"/>
        </w:rPr>
        <w:footnoteReference w:id="21"/>
      </w:r>
      <w:r w:rsidRPr="00B47843">
        <w:rPr>
          <w:rFonts w:hint="cs"/>
          <w:rtl/>
          <w:lang w:bidi="fa-IR"/>
        </w:rPr>
        <w:t xml:space="preserve"> در باب ششم قانون آیین دادرسی مدنی، نظام اجرایی خاصی را در نظر گرفته است. مقصود از رأی داوری غیر فرانسوی عبارت است از رأی داوری صادره در زمینه داوری بین</w:t>
      </w:r>
      <w:r w:rsidR="004701BA">
        <w:rPr>
          <w:rFonts w:hint="cs"/>
          <w:rtl/>
          <w:lang w:bidi="fa-IR"/>
        </w:rPr>
        <w:t>‌</w:t>
      </w:r>
      <w:r w:rsidRPr="00B47843">
        <w:rPr>
          <w:rFonts w:hint="cs"/>
          <w:rtl/>
          <w:lang w:bidi="fa-IR"/>
        </w:rPr>
        <w:t>المللی حتی اگر در فرانسه صادر شده باشد. زیرا اینگونه آراء به نظام حقوقی فرانسوی تعلق ندارند؛ و نیز رأی داوری صادره در خارج اعم از اینکه در زمینه داوری بین</w:t>
      </w:r>
      <w:r w:rsidR="004701BA">
        <w:rPr>
          <w:rFonts w:hint="cs"/>
          <w:rtl/>
          <w:lang w:bidi="fa-IR"/>
        </w:rPr>
        <w:t>‌</w:t>
      </w:r>
      <w:r w:rsidRPr="00B47843">
        <w:rPr>
          <w:rFonts w:hint="cs"/>
          <w:rtl/>
          <w:lang w:bidi="fa-IR"/>
        </w:rPr>
        <w:t>المللی باشد یا خیر. این آراء با توجه به ارجاع ماده 1500 ق.آ.د.م. به ماده 1476(در مورد آرای داوری داخلی یا فرانسوی)، به محض صدور واجد اعتبار قضیه محکوم بها می</w:t>
      </w:r>
      <w:r w:rsidR="004701BA">
        <w:rPr>
          <w:rFonts w:hint="cs"/>
          <w:rtl/>
          <w:lang w:bidi="fa-IR"/>
        </w:rPr>
        <w:t>‌</w:t>
      </w:r>
      <w:r w:rsidRPr="00B47843">
        <w:rPr>
          <w:rFonts w:hint="cs"/>
          <w:rtl/>
          <w:lang w:bidi="fa-IR"/>
        </w:rPr>
        <w:t>شوند و از این لحاظ کشور محل صدور رأی مهم نیست. نیز به موجب ارجاع ماده 1500 به مواد 1477 و 1478، نظام صدور دستور اجرای آرای داوری غیر فرانسوی، همان نظام اجرایی آرای داوری داخلی است.</w:t>
      </w:r>
      <w:r w:rsidR="00E17B4F" w:rsidRPr="00B47843">
        <w:rPr>
          <w:rStyle w:val="FootnoteReference"/>
          <w:rtl/>
          <w:lang w:bidi="fa-IR"/>
        </w:rPr>
        <w:footnoteReference w:id="22"/>
      </w:r>
    </w:p>
    <w:p w:rsidR="007609B1" w:rsidRPr="00B47843" w:rsidRDefault="007609B1" w:rsidP="004C2DA3">
      <w:pPr>
        <w:bidi/>
        <w:ind w:firstLine="360"/>
        <w:jc w:val="mediumKashida"/>
        <w:rPr>
          <w:rtl/>
          <w:lang w:bidi="fa-IR"/>
        </w:rPr>
      </w:pPr>
      <w:r w:rsidRPr="00B47843">
        <w:rPr>
          <w:rFonts w:hint="cs"/>
          <w:rtl/>
          <w:lang w:bidi="fa-IR"/>
        </w:rPr>
        <w:t>بر اساس بند یک ماده 1498 و ماده 1499، شرایط شناسایی آرای داوری عبارت</w:t>
      </w:r>
      <w:r w:rsidR="004701BA">
        <w:rPr>
          <w:rFonts w:hint="cs"/>
          <w:rtl/>
          <w:lang w:bidi="fa-IR"/>
        </w:rPr>
        <w:t>‌</w:t>
      </w:r>
      <w:r w:rsidRPr="00B47843">
        <w:rPr>
          <w:rFonts w:hint="cs"/>
          <w:rtl/>
          <w:lang w:bidi="fa-IR"/>
        </w:rPr>
        <w:t>اند از اثبات وجود رأی و عدم مغایرت آشکار با نظم عمومی بین</w:t>
      </w:r>
      <w:r w:rsidR="004701BA">
        <w:rPr>
          <w:rFonts w:hint="cs"/>
          <w:rtl/>
          <w:lang w:bidi="fa-IR"/>
        </w:rPr>
        <w:t>‌</w:t>
      </w:r>
      <w:r w:rsidRPr="00B47843">
        <w:rPr>
          <w:rFonts w:hint="cs"/>
          <w:rtl/>
          <w:lang w:bidi="fa-IR"/>
        </w:rPr>
        <w:t>المللی. با توجه به اینکه همین دو شرط برای اعطای قدرت اجرایی بر رأی داوری ضروری است، طرح دعوی برای شناسایی ساده رأی بسیار کم اهمیت و نادر می</w:t>
      </w:r>
      <w:r w:rsidR="00616181">
        <w:rPr>
          <w:rFonts w:hint="cs"/>
          <w:rtl/>
          <w:lang w:bidi="fa-IR"/>
        </w:rPr>
        <w:t>‌</w:t>
      </w:r>
      <w:r w:rsidRPr="00B47843">
        <w:rPr>
          <w:rFonts w:hint="cs"/>
          <w:rtl/>
          <w:lang w:bidi="fa-IR"/>
        </w:rPr>
        <w:t>شود و علی</w:t>
      </w:r>
      <w:r w:rsidRPr="00B47843">
        <w:rPr>
          <w:rtl/>
          <w:lang w:bidi="fa-IR"/>
        </w:rPr>
        <w:softHyphen/>
      </w:r>
      <w:r w:rsidRPr="00B47843">
        <w:rPr>
          <w:rFonts w:hint="cs"/>
          <w:rtl/>
          <w:lang w:bidi="fa-IR"/>
        </w:rPr>
        <w:lastRenderedPageBreak/>
        <w:t>الاصول، درخواست</w:t>
      </w:r>
      <w:r w:rsidR="00616181">
        <w:rPr>
          <w:rFonts w:hint="cs"/>
          <w:rtl/>
          <w:lang w:bidi="fa-IR"/>
        </w:rPr>
        <w:t>‌</w:t>
      </w:r>
      <w:r w:rsidRPr="00B47843">
        <w:rPr>
          <w:rFonts w:hint="cs"/>
          <w:rtl/>
          <w:lang w:bidi="fa-IR"/>
        </w:rPr>
        <w:t>ها به هدف تحصیل دستور اجرای رأی داده می</w:t>
      </w:r>
      <w:r w:rsidR="00616181">
        <w:rPr>
          <w:rFonts w:hint="cs"/>
          <w:rtl/>
          <w:lang w:bidi="fa-IR"/>
        </w:rPr>
        <w:t>‌</w:t>
      </w:r>
      <w:r w:rsidRPr="00B47843">
        <w:rPr>
          <w:rFonts w:hint="cs"/>
          <w:rtl/>
          <w:lang w:bidi="fa-IR"/>
        </w:rPr>
        <w:t>شود. مقام صالح جهت صدور دستور اجرای رأی برای آرای صادره در فرانسه از جمله آرای صادره در داوری</w:t>
      </w:r>
      <w:r w:rsidR="004701BA">
        <w:rPr>
          <w:rFonts w:hint="cs"/>
          <w:rtl/>
          <w:lang w:bidi="fa-IR"/>
        </w:rPr>
        <w:t>‌</w:t>
      </w:r>
      <w:r w:rsidRPr="00B47843">
        <w:rPr>
          <w:rFonts w:hint="cs"/>
          <w:rtl/>
          <w:lang w:bidi="fa-IR"/>
        </w:rPr>
        <w:t>های بین</w:t>
      </w:r>
      <w:r w:rsidR="004701BA">
        <w:rPr>
          <w:rFonts w:hint="cs"/>
          <w:rtl/>
          <w:lang w:bidi="fa-IR"/>
        </w:rPr>
        <w:t>‌</w:t>
      </w:r>
      <w:r w:rsidRPr="00B47843">
        <w:rPr>
          <w:rFonts w:hint="cs"/>
          <w:rtl/>
          <w:lang w:bidi="fa-IR"/>
        </w:rPr>
        <w:t>المللی برگزار شده در فرانسه، دادرس دادگاه شهرستانی است که رأی در حوزه صلاحیت آن صادر شده است. اما قانون در مورد دادگاه صلاحیت</w:t>
      </w:r>
      <w:r w:rsidR="004701BA">
        <w:rPr>
          <w:rFonts w:hint="cs"/>
          <w:rtl/>
          <w:lang w:bidi="fa-IR"/>
        </w:rPr>
        <w:t>‌</w:t>
      </w:r>
      <w:r w:rsidRPr="00B47843">
        <w:rPr>
          <w:rFonts w:hint="cs"/>
          <w:rtl/>
          <w:lang w:bidi="fa-IR"/>
        </w:rPr>
        <w:t xml:space="preserve">دار جهت صدور دستور اجرای </w:t>
      </w:r>
      <w:r w:rsidR="00692536" w:rsidRPr="00B47843">
        <w:rPr>
          <w:rFonts w:hint="cs"/>
          <w:rtl/>
          <w:lang w:bidi="fa-IR"/>
        </w:rPr>
        <w:t>آرای صادره در خارج، صریح نیست. رویه قضایی گذشته فرانسه، در این مورد، در فرضی که محکوم علیه در فرانسه اقامت داشته باشد، دادگاه محل اقامت وی و در غیر این صورت، دادگاهی را صالح دانسته است که خواهان به دنبال اجرای رأی در حوزه صلاحیت آن است. مدارک لازم برای صدور دستور اجرا، مطابق ماده 1499 عبارت</w:t>
      </w:r>
      <w:r w:rsidR="00616181">
        <w:rPr>
          <w:rFonts w:hint="cs"/>
          <w:rtl/>
          <w:lang w:bidi="fa-IR"/>
        </w:rPr>
        <w:t>‌</w:t>
      </w:r>
      <w:r w:rsidR="00692536" w:rsidRPr="00B47843">
        <w:rPr>
          <w:rFonts w:hint="cs"/>
          <w:rtl/>
          <w:lang w:bidi="fa-IR"/>
        </w:rPr>
        <w:t>اند از اصل یا رونوشت رأی و قرارداد داوری و نیز ترجمه مصدق آنها در صورت لزوم. به علاوه، برای اخذ تصمیم نیازی به تشکیل جلسه رسیدگی حضوری نیست. دادرس، معمولاً وجود این اسناد، صدق عنوان رأی داوری بر سندی که بدین عنوان توسط خواهان اجرا، ارائه شده است، شمول قلمرو قرارداد داوری بر اختلاف موضوع رأی و بالاخره، عدم مغایرت آشکار رأی با نظم عمومی بین</w:t>
      </w:r>
      <w:r w:rsidR="00616181">
        <w:rPr>
          <w:rFonts w:hint="cs"/>
          <w:rtl/>
          <w:lang w:bidi="fa-IR"/>
        </w:rPr>
        <w:t>‌</w:t>
      </w:r>
      <w:r w:rsidR="00692536" w:rsidRPr="00B47843">
        <w:rPr>
          <w:rFonts w:hint="cs"/>
          <w:rtl/>
          <w:lang w:bidi="fa-IR"/>
        </w:rPr>
        <w:t>المللی فرانسه را کنترل می</w:t>
      </w:r>
      <w:r w:rsidR="00616181">
        <w:rPr>
          <w:rFonts w:hint="cs"/>
          <w:rtl/>
          <w:lang w:bidi="fa-IR"/>
        </w:rPr>
        <w:t>‌</w:t>
      </w:r>
      <w:r w:rsidR="00692536" w:rsidRPr="00B47843">
        <w:rPr>
          <w:rFonts w:hint="cs"/>
          <w:rtl/>
          <w:lang w:bidi="fa-IR"/>
        </w:rPr>
        <w:t>کند.</w:t>
      </w:r>
      <w:r w:rsidR="00920911" w:rsidRPr="00B47843">
        <w:rPr>
          <w:rStyle w:val="FootnoteReference"/>
          <w:rtl/>
          <w:lang w:bidi="fa-IR"/>
        </w:rPr>
        <w:footnoteReference w:id="23"/>
      </w:r>
      <w:r w:rsidR="00692536" w:rsidRPr="00B47843">
        <w:rPr>
          <w:rFonts w:hint="cs"/>
          <w:rtl/>
          <w:lang w:bidi="fa-IR"/>
        </w:rPr>
        <w:t xml:space="preserve"> </w:t>
      </w:r>
    </w:p>
    <w:p w:rsidR="00920911" w:rsidRPr="00B47843" w:rsidRDefault="006525D9" w:rsidP="004C2DA3">
      <w:pPr>
        <w:bidi/>
        <w:spacing w:before="240"/>
        <w:ind w:firstLine="360"/>
        <w:jc w:val="mediumKashida"/>
        <w:rPr>
          <w:lang w:bidi="fa-IR"/>
        </w:rPr>
      </w:pPr>
      <w:r w:rsidRPr="00B47843">
        <w:rPr>
          <w:rFonts w:hint="cs"/>
          <w:rtl/>
          <w:lang w:bidi="fa-IR"/>
        </w:rPr>
        <w:t>تصمیم به صدور اجراییه (مطابق ماده 1052) و نیز تصمیم به امتناع از صدور اجراییه و به عبارتی ردّ درخواست اجرا (مطابق ماده 1051) قابل پژوهش</w:t>
      </w:r>
      <w:r w:rsidR="008E51B4">
        <w:rPr>
          <w:rFonts w:hint="cs"/>
          <w:rtl/>
          <w:lang w:bidi="fa-IR"/>
        </w:rPr>
        <w:t>‌</w:t>
      </w:r>
      <w:r w:rsidRPr="00B47843">
        <w:rPr>
          <w:rFonts w:hint="cs"/>
          <w:rtl/>
          <w:lang w:bidi="fa-IR"/>
        </w:rPr>
        <w:t>خواهی است.</w:t>
      </w:r>
      <w:r w:rsidR="00211D73" w:rsidRPr="00B47843">
        <w:rPr>
          <w:rFonts w:hint="cs"/>
          <w:rtl/>
          <w:lang w:bidi="fa-IR"/>
        </w:rPr>
        <w:t xml:space="preserve"> مرجع رسیدگی به شکایت نیز بر خلاف گذشته، تنها دادگاه پژوهش است و دادگاه شهرستان صلاحیتی ندارد. با این وصف، در حالی که در فرض شکایت (پژوهش</w:t>
      </w:r>
      <w:r w:rsidR="008E51B4">
        <w:rPr>
          <w:rFonts w:hint="cs"/>
          <w:rtl/>
          <w:lang w:bidi="fa-IR"/>
        </w:rPr>
        <w:t>‌</w:t>
      </w:r>
      <w:r w:rsidR="00211D73" w:rsidRPr="00B47843">
        <w:rPr>
          <w:rFonts w:hint="cs"/>
          <w:rtl/>
          <w:lang w:bidi="fa-IR"/>
        </w:rPr>
        <w:t xml:space="preserve">خواهی) از تصمیم به ردّ درخواست اجرا، وضعیت همه آرای غیر فرانسوی تقریباً یکسان است. در فرض اعتراض به صدور دستور اجرا، باید دو دسته آرای غیر </w:t>
      </w:r>
      <w:r w:rsidR="00211D73" w:rsidRPr="00B47843">
        <w:rPr>
          <w:rFonts w:hint="cs"/>
          <w:rtl/>
          <w:lang w:bidi="fa-IR"/>
        </w:rPr>
        <w:lastRenderedPageBreak/>
        <w:t>فرانسوی را از هم تفکیک نمود. در مورد آرای صادره در خارج، امکان شکایت مستقیم (درخواست ابطال) وجود ندارد و تنها می</w:t>
      </w:r>
      <w:r w:rsidR="008E51B4">
        <w:rPr>
          <w:rFonts w:hint="cs"/>
          <w:rtl/>
          <w:lang w:bidi="fa-IR"/>
        </w:rPr>
        <w:t>‌</w:t>
      </w:r>
      <w:r w:rsidR="00211D73" w:rsidRPr="00B47843">
        <w:rPr>
          <w:rFonts w:hint="cs"/>
          <w:rtl/>
          <w:lang w:bidi="fa-IR"/>
        </w:rPr>
        <w:t>توان از تصمیم ناظر به موافقت با شناسایی و اجرای آن پژوهش</w:t>
      </w:r>
      <w:r w:rsidR="008E51B4">
        <w:rPr>
          <w:rFonts w:hint="cs"/>
          <w:rtl/>
          <w:lang w:bidi="fa-IR"/>
        </w:rPr>
        <w:t>‌</w:t>
      </w:r>
      <w:r w:rsidR="00211D73" w:rsidRPr="00B47843">
        <w:rPr>
          <w:rFonts w:hint="cs"/>
          <w:rtl/>
          <w:lang w:bidi="fa-IR"/>
        </w:rPr>
        <w:t>خواهی کرد. دادگاه پژوهش نیز به فرض احراز مغایرت رأی داوری با مقررات، تنها تصمیم ناظر به موافقت با شناسایی و اجرای آن را الغاء می</w:t>
      </w:r>
      <w:r w:rsidR="008E51B4">
        <w:rPr>
          <w:rFonts w:hint="cs"/>
          <w:rtl/>
          <w:lang w:bidi="fa-IR"/>
        </w:rPr>
        <w:t>‌</w:t>
      </w:r>
      <w:r w:rsidR="00855635">
        <w:rPr>
          <w:rFonts w:hint="cs"/>
          <w:rtl/>
          <w:lang w:bidi="fa-IR"/>
        </w:rPr>
        <w:t>کند و صلاحیت ابطال رأی</w:t>
      </w:r>
      <w:r w:rsidR="00211D73" w:rsidRPr="00B47843">
        <w:rPr>
          <w:rFonts w:hint="cs"/>
          <w:rtl/>
          <w:lang w:bidi="fa-IR"/>
        </w:rPr>
        <w:t xml:space="preserve"> را ندارد (مواد 1052 و 1053).  در حالی که آرای صادره در فرانسه در زمینه داوری بین</w:t>
      </w:r>
      <w:r w:rsidR="008E51B4">
        <w:rPr>
          <w:rFonts w:hint="cs"/>
          <w:rtl/>
          <w:lang w:bidi="fa-IR"/>
        </w:rPr>
        <w:t>‌</w:t>
      </w:r>
      <w:r w:rsidR="00211D73" w:rsidRPr="00B47843">
        <w:rPr>
          <w:rFonts w:hint="cs"/>
          <w:rtl/>
          <w:lang w:bidi="fa-IR"/>
        </w:rPr>
        <w:t>المللی، مطابق ماده 1054 می</w:t>
      </w:r>
      <w:r w:rsidR="008E51B4">
        <w:rPr>
          <w:rFonts w:hint="cs"/>
          <w:rtl/>
          <w:lang w:bidi="fa-IR"/>
        </w:rPr>
        <w:t>‌</w:t>
      </w:r>
      <w:r w:rsidR="00211D73" w:rsidRPr="00B47843">
        <w:rPr>
          <w:rFonts w:hint="cs"/>
          <w:rtl/>
          <w:lang w:bidi="fa-IR"/>
        </w:rPr>
        <w:t>تواند موضوع درخواست ابطال واقع شوند. بدین ترتیب آرای داوری مزبور مستقیماً قابل شکایت هستند.</w:t>
      </w:r>
      <w:r w:rsidR="00A86E08" w:rsidRPr="00B47843">
        <w:rPr>
          <w:rFonts w:hint="cs"/>
          <w:rtl/>
          <w:lang w:bidi="fa-IR"/>
        </w:rPr>
        <w:t xml:space="preserve"> مطابق همین ماده، دستور اجرای این آراء قابل شکایت و اعتراض نیست، ولی درخواست ابطال، به طور قهری و در حدود صلاحیت دادگاه، متضمن اعتراض به قرار صادره توسط دادرس مأمور اجرای رأی یا منع دخالت وی نیز هست. نتیجه آن</w:t>
      </w:r>
      <w:r w:rsidR="008E51B4">
        <w:rPr>
          <w:rFonts w:hint="cs"/>
          <w:rtl/>
          <w:lang w:bidi="fa-IR"/>
        </w:rPr>
        <w:t>‌</w:t>
      </w:r>
      <w:r w:rsidR="00A86E08" w:rsidRPr="00B47843">
        <w:rPr>
          <w:rFonts w:hint="cs"/>
          <w:rtl/>
          <w:lang w:bidi="fa-IR"/>
        </w:rPr>
        <w:t>که شکایت مستقیم علیه رأی داوری (به صورت درخواست ابطال) منوط به صدور دستور اجرای آن نیست و مطابق ماده 1505، این اعتراض یا شکایت به محض صدور رأی داوری قابل طرح و رسیدگی است. تفاوت عمده ابطال رأی داوری بین</w:t>
      </w:r>
      <w:r w:rsidR="008E51B4">
        <w:rPr>
          <w:rFonts w:hint="cs"/>
          <w:rtl/>
          <w:lang w:bidi="fa-IR"/>
        </w:rPr>
        <w:t>‌</w:t>
      </w:r>
      <w:r w:rsidR="00A86E08" w:rsidRPr="00B47843">
        <w:rPr>
          <w:rFonts w:hint="cs"/>
          <w:rtl/>
          <w:lang w:bidi="fa-IR"/>
        </w:rPr>
        <w:t>المللی (صادره در فرانسه) با ابطال رأی داوری داخلی صرف، در این نکته است که دادگاه پژوهش، در فرض اخیر علی</w:t>
      </w:r>
      <w:r w:rsidR="008E51B4">
        <w:rPr>
          <w:rFonts w:hint="cs"/>
          <w:rtl/>
          <w:lang w:bidi="fa-IR"/>
        </w:rPr>
        <w:t>‌</w:t>
      </w:r>
      <w:r w:rsidR="00A86E08" w:rsidRPr="00B47843">
        <w:rPr>
          <w:rFonts w:hint="cs"/>
          <w:rtl/>
          <w:lang w:bidi="fa-IR"/>
        </w:rPr>
        <w:t>الاصول، صلاحیت رسیدگی به ماهیت اختلاف و صدور رأی را دارد، در حالی که، در فرض اول نمی</w:t>
      </w:r>
      <w:r w:rsidR="008E51B4">
        <w:rPr>
          <w:rFonts w:hint="cs"/>
          <w:rtl/>
          <w:lang w:bidi="fa-IR"/>
        </w:rPr>
        <w:t>‌</w:t>
      </w:r>
      <w:r w:rsidR="00A86E08" w:rsidRPr="00B47843">
        <w:rPr>
          <w:rFonts w:hint="cs"/>
          <w:rtl/>
          <w:lang w:bidi="fa-IR"/>
        </w:rPr>
        <w:t>تواند خود را بر خلاف خواست طرفین، جانشین داوران نموده و اخذ تصمیم کند.</w:t>
      </w:r>
      <w:r w:rsidR="00A86E08" w:rsidRPr="00B47843">
        <w:rPr>
          <w:rStyle w:val="FootnoteReference"/>
          <w:rtl/>
          <w:lang w:bidi="fa-IR"/>
        </w:rPr>
        <w:footnoteReference w:id="24"/>
      </w:r>
    </w:p>
    <w:p w:rsidR="00A86E08" w:rsidRDefault="00A86E08" w:rsidP="004C2DA3">
      <w:pPr>
        <w:bidi/>
        <w:spacing w:before="240"/>
        <w:ind w:firstLine="360"/>
        <w:jc w:val="mediumKashida"/>
        <w:rPr>
          <w:lang w:bidi="fa-IR"/>
        </w:rPr>
      </w:pPr>
      <w:r w:rsidRPr="00B47843">
        <w:rPr>
          <w:rFonts w:hint="cs"/>
          <w:rtl/>
          <w:lang w:bidi="fa-IR"/>
        </w:rPr>
        <w:t xml:space="preserve">سرانجام به موجب ماده 1056 ق.آ.د.م. </w:t>
      </w:r>
      <w:r w:rsidR="002E4899" w:rsidRPr="00B47843">
        <w:rPr>
          <w:rFonts w:hint="cs"/>
          <w:rtl/>
          <w:lang w:bidi="fa-IR"/>
        </w:rPr>
        <w:t>فرانسه، همه انواع اعتراض یا شکایات مذکور در فوق، دارای اثر تعلیقی بوده و اجرای رأی را معلق می</w:t>
      </w:r>
      <w:r w:rsidR="008E51B4">
        <w:rPr>
          <w:rFonts w:hint="cs"/>
          <w:rtl/>
          <w:lang w:bidi="fa-IR"/>
        </w:rPr>
        <w:t>‌</w:t>
      </w:r>
      <w:r w:rsidR="002E4899" w:rsidRPr="00B47843">
        <w:rPr>
          <w:rFonts w:hint="cs"/>
          <w:rtl/>
          <w:lang w:bidi="fa-IR"/>
        </w:rPr>
        <w:t>سازند.</w:t>
      </w:r>
    </w:p>
    <w:p w:rsidR="0097095B" w:rsidRDefault="0097095B" w:rsidP="0097095B">
      <w:pPr>
        <w:bidi/>
        <w:spacing w:before="240"/>
        <w:ind w:firstLine="360"/>
        <w:jc w:val="mediumKashida"/>
        <w:rPr>
          <w:lang w:bidi="fa-IR"/>
        </w:rPr>
      </w:pPr>
    </w:p>
    <w:p w:rsidR="0097095B" w:rsidRPr="00B47843" w:rsidRDefault="0097095B" w:rsidP="0097095B">
      <w:pPr>
        <w:bidi/>
        <w:spacing w:before="240"/>
        <w:ind w:firstLine="360"/>
        <w:jc w:val="mediumKashida"/>
        <w:rPr>
          <w:rtl/>
          <w:lang w:bidi="fa-IR"/>
        </w:rPr>
      </w:pPr>
    </w:p>
    <w:p w:rsidR="002E4899" w:rsidRPr="00B47843" w:rsidRDefault="002E4899" w:rsidP="004C2DA3">
      <w:pPr>
        <w:bidi/>
        <w:spacing w:before="240"/>
        <w:ind w:firstLine="360"/>
        <w:jc w:val="mediumKashida"/>
        <w:rPr>
          <w:rtl/>
          <w:lang w:bidi="fa-IR"/>
        </w:rPr>
      </w:pPr>
    </w:p>
    <w:p w:rsidR="002E4899" w:rsidRDefault="00521D85" w:rsidP="00C34789">
      <w:pPr>
        <w:pStyle w:val="Heading4"/>
      </w:pPr>
      <w:r>
        <w:rPr>
          <w:rFonts w:hint="cs"/>
          <w:rtl/>
        </w:rPr>
        <w:t>2-1-3</w:t>
      </w:r>
      <w:r w:rsidR="009C78CE" w:rsidRPr="00521D85">
        <w:rPr>
          <w:rFonts w:hint="cs"/>
          <w:rtl/>
        </w:rPr>
        <w:t>) کشورهای تابع نظام حقوقی کامن‌</w:t>
      </w:r>
      <w:r w:rsidR="002E4899" w:rsidRPr="00521D85">
        <w:rPr>
          <w:rFonts w:hint="cs"/>
          <w:rtl/>
        </w:rPr>
        <w:t>لا</w:t>
      </w:r>
    </w:p>
    <w:p w:rsidR="00C91664" w:rsidRPr="00C91664" w:rsidRDefault="00C91664" w:rsidP="00C91664">
      <w:pPr>
        <w:rPr>
          <w:rtl/>
          <w:lang w:bidi="fa-IR"/>
        </w:rPr>
      </w:pPr>
    </w:p>
    <w:p w:rsidR="002E4899" w:rsidRDefault="0005418D" w:rsidP="004C2DA3">
      <w:pPr>
        <w:bidi/>
        <w:spacing w:before="240"/>
        <w:ind w:firstLine="360"/>
        <w:jc w:val="mediumKashida"/>
        <w:rPr>
          <w:rtl/>
          <w:lang w:bidi="fa-IR"/>
        </w:rPr>
      </w:pPr>
      <w:r w:rsidRPr="00B47843">
        <w:rPr>
          <w:rFonts w:hint="cs"/>
          <w:rtl/>
          <w:lang w:bidi="fa-IR"/>
        </w:rPr>
        <w:t>از آنجایی که پرچم</w:t>
      </w:r>
      <w:r w:rsidR="008E51B4">
        <w:rPr>
          <w:rFonts w:hint="cs"/>
          <w:rtl/>
          <w:lang w:bidi="fa-IR"/>
        </w:rPr>
        <w:t>‌داران نظام حقوقی کامن‌</w:t>
      </w:r>
      <w:r w:rsidRPr="00B47843">
        <w:rPr>
          <w:rFonts w:hint="cs"/>
          <w:rtl/>
          <w:lang w:bidi="fa-IR"/>
        </w:rPr>
        <w:t>لا، دو کشور انگلستان و ایالات متحده امریکا می باشند، در این قسمت به عنوان نمونه، به رژیم اجرای آرای داوری تجاری بین</w:t>
      </w:r>
      <w:r w:rsidR="008E51B4">
        <w:rPr>
          <w:rFonts w:hint="cs"/>
          <w:rtl/>
          <w:lang w:bidi="fa-IR"/>
        </w:rPr>
        <w:t>‌</w:t>
      </w:r>
      <w:r w:rsidRPr="00B47843">
        <w:rPr>
          <w:rFonts w:hint="cs"/>
          <w:rtl/>
          <w:lang w:bidi="fa-IR"/>
        </w:rPr>
        <w:t>المللی در این دو کشور پرداخته خواهد شد.</w:t>
      </w:r>
    </w:p>
    <w:p w:rsidR="00521D85" w:rsidRPr="00B47843" w:rsidRDefault="00521D85" w:rsidP="004C2DA3">
      <w:pPr>
        <w:bidi/>
        <w:spacing w:before="240"/>
        <w:ind w:firstLine="360"/>
        <w:jc w:val="mediumKashida"/>
        <w:rPr>
          <w:rtl/>
          <w:lang w:bidi="fa-IR"/>
        </w:rPr>
      </w:pPr>
    </w:p>
    <w:p w:rsidR="00C34789" w:rsidRDefault="00521D85" w:rsidP="00C34789">
      <w:pPr>
        <w:pStyle w:val="Heading4"/>
        <w:rPr>
          <w:rtl/>
        </w:rPr>
      </w:pPr>
      <w:r>
        <w:rPr>
          <w:rFonts w:hint="cs"/>
          <w:rtl/>
        </w:rPr>
        <w:t xml:space="preserve">2-1-3-الف) </w:t>
      </w:r>
      <w:r w:rsidR="0005418D" w:rsidRPr="00521D85">
        <w:rPr>
          <w:rFonts w:hint="cs"/>
          <w:rtl/>
        </w:rPr>
        <w:t>انگلستان</w:t>
      </w:r>
    </w:p>
    <w:p w:rsidR="00513216" w:rsidRPr="00513216" w:rsidRDefault="00513216" w:rsidP="00513216">
      <w:pPr>
        <w:rPr>
          <w:lang w:bidi="fa-IR"/>
        </w:rPr>
      </w:pPr>
    </w:p>
    <w:p w:rsidR="0005418D" w:rsidRPr="00513216" w:rsidRDefault="009C78CE" w:rsidP="00513216">
      <w:pPr>
        <w:bidi/>
        <w:jc w:val="mediumKashida"/>
        <w:rPr>
          <w:rtl/>
        </w:rPr>
      </w:pPr>
      <w:r w:rsidRPr="00513216">
        <w:rPr>
          <w:rFonts w:hint="cs"/>
          <w:rtl/>
        </w:rPr>
        <w:t>از نظر پیشینه موضوع، اصول کامن‌</w:t>
      </w:r>
      <w:r w:rsidR="0005418D" w:rsidRPr="00513216">
        <w:rPr>
          <w:rFonts w:hint="cs"/>
          <w:rtl/>
        </w:rPr>
        <w:t>لا مقتضی عدم تمایز ماهوی بین رأی داوری داخلی و رأی داوری خارجی است و بر ماهیت قراردادی رأی داوری اتکا می</w:t>
      </w:r>
      <w:r w:rsidR="008E51B4" w:rsidRPr="00513216">
        <w:rPr>
          <w:rFonts w:hint="cs"/>
          <w:rtl/>
        </w:rPr>
        <w:t>‌</w:t>
      </w:r>
      <w:r w:rsidR="0005418D" w:rsidRPr="00513216">
        <w:rPr>
          <w:rFonts w:hint="cs"/>
          <w:rtl/>
        </w:rPr>
        <w:t>کند. به تبع، از تشبیه رأی داوری خارجی به حکم دادگاه خارجی احتراز می</w:t>
      </w:r>
      <w:r w:rsidR="008E51B4" w:rsidRPr="00513216">
        <w:rPr>
          <w:rFonts w:hint="cs"/>
          <w:rtl/>
        </w:rPr>
        <w:t>‌</w:t>
      </w:r>
      <w:r w:rsidR="0005418D" w:rsidRPr="00513216">
        <w:rPr>
          <w:rFonts w:hint="cs"/>
          <w:rtl/>
        </w:rPr>
        <w:t xml:space="preserve">شود. به همین جهت، با اینکه دکترین استحاله یا ادغام رأی </w:t>
      </w:r>
      <w:r w:rsidR="00944636" w:rsidRPr="00513216">
        <w:rPr>
          <w:rFonts w:hint="cs"/>
          <w:rtl/>
        </w:rPr>
        <w:t xml:space="preserve">در حکم دادگاه و تبدیل حکم به رأی محکمه به عنوان مبنای حقوقی برای اجرای رأی داوری، </w:t>
      </w:r>
      <w:r w:rsidRPr="00513216">
        <w:rPr>
          <w:rFonts w:hint="cs"/>
          <w:rtl/>
        </w:rPr>
        <w:t>اساساً متعلق به نظام حقوقی کامن‌</w:t>
      </w:r>
      <w:r w:rsidR="00944636" w:rsidRPr="00513216">
        <w:rPr>
          <w:rFonts w:hint="cs"/>
          <w:rtl/>
        </w:rPr>
        <w:t>لا است و از آنجا به قانون داوری انگلستان راه یافته، ولی دادگاه</w:t>
      </w:r>
      <w:r w:rsidR="008E51B4" w:rsidRPr="00513216">
        <w:rPr>
          <w:rFonts w:hint="cs"/>
          <w:rtl/>
        </w:rPr>
        <w:t>‌</w:t>
      </w:r>
      <w:r w:rsidR="00944636" w:rsidRPr="00513216">
        <w:rPr>
          <w:rFonts w:hint="cs"/>
          <w:rtl/>
        </w:rPr>
        <w:t>های انگلستان، دستور اجرای دادگاه</w:t>
      </w:r>
      <w:r w:rsidR="008E51B4" w:rsidRPr="00513216">
        <w:rPr>
          <w:rFonts w:hint="cs"/>
          <w:rtl/>
        </w:rPr>
        <w:t>‌</w:t>
      </w:r>
      <w:r w:rsidR="00944636" w:rsidRPr="00513216">
        <w:rPr>
          <w:rFonts w:hint="cs"/>
          <w:rtl/>
        </w:rPr>
        <w:t>های خارجی را به اجازه اجرا</w:t>
      </w:r>
      <w:r w:rsidR="00944636" w:rsidRPr="00513216">
        <w:rPr>
          <w:rStyle w:val="FootnoteReference"/>
          <w:rtl/>
        </w:rPr>
        <w:footnoteReference w:id="25"/>
      </w:r>
      <w:r w:rsidR="00944636" w:rsidRPr="00513216">
        <w:rPr>
          <w:rFonts w:hint="cs"/>
          <w:rtl/>
        </w:rPr>
        <w:t xml:space="preserve"> تعبیر کرده و از اعمال دکترین </w:t>
      </w:r>
      <w:r w:rsidR="00944636" w:rsidRPr="00513216">
        <w:rPr>
          <w:rFonts w:hint="cs"/>
          <w:rtl/>
        </w:rPr>
        <w:lastRenderedPageBreak/>
        <w:t>استحاله یا ادغام در مورد این</w:t>
      </w:r>
      <w:r w:rsidR="008E51B4" w:rsidRPr="00513216">
        <w:rPr>
          <w:rFonts w:hint="cs"/>
          <w:rtl/>
        </w:rPr>
        <w:t>‌</w:t>
      </w:r>
      <w:r w:rsidR="00944636" w:rsidRPr="00513216">
        <w:rPr>
          <w:rFonts w:hint="cs"/>
          <w:rtl/>
        </w:rPr>
        <w:t>گونه آرای داوری خارجی و تلقی آنها به عنوان احکام دادگاه خارجی پرهیز کرده و می</w:t>
      </w:r>
      <w:r w:rsidR="008E51B4" w:rsidRPr="00513216">
        <w:rPr>
          <w:rFonts w:hint="cs"/>
          <w:rtl/>
        </w:rPr>
        <w:t>‌</w:t>
      </w:r>
      <w:r w:rsidR="00944636" w:rsidRPr="00513216">
        <w:rPr>
          <w:rFonts w:hint="cs"/>
          <w:rtl/>
        </w:rPr>
        <w:t>کنند.</w:t>
      </w:r>
      <w:r w:rsidR="00DA0575" w:rsidRPr="00513216">
        <w:rPr>
          <w:rStyle w:val="FootnoteReference"/>
          <w:rtl/>
        </w:rPr>
        <w:footnoteReference w:id="26"/>
      </w:r>
    </w:p>
    <w:p w:rsidR="00DA0575" w:rsidRPr="00B47843" w:rsidRDefault="009C78CE" w:rsidP="004C2DA3">
      <w:pPr>
        <w:bidi/>
        <w:spacing w:before="240"/>
        <w:ind w:firstLine="360"/>
        <w:jc w:val="mediumKashida"/>
        <w:rPr>
          <w:rtl/>
          <w:lang w:bidi="fa-IR"/>
        </w:rPr>
      </w:pPr>
      <w:r>
        <w:rPr>
          <w:rFonts w:hint="cs"/>
          <w:rtl/>
          <w:lang w:bidi="fa-IR"/>
        </w:rPr>
        <w:t>به هر حال محکوم‌</w:t>
      </w:r>
      <w:r w:rsidR="00DA0575" w:rsidRPr="00B47843">
        <w:rPr>
          <w:rFonts w:hint="cs"/>
          <w:rtl/>
          <w:lang w:bidi="fa-IR"/>
        </w:rPr>
        <w:t xml:space="preserve">لهی که بخواهد طبق مقررات و مبانی </w:t>
      </w:r>
      <w:r>
        <w:rPr>
          <w:rFonts w:hint="cs"/>
          <w:rtl/>
          <w:lang w:bidi="fa-IR"/>
        </w:rPr>
        <w:t>عمومی کامن‌</w:t>
      </w:r>
      <w:r w:rsidR="00DA0575" w:rsidRPr="00B47843">
        <w:rPr>
          <w:rFonts w:hint="cs"/>
          <w:rtl/>
          <w:lang w:bidi="fa-IR"/>
        </w:rPr>
        <w:t>لا و نه مقررات معاهدات بین</w:t>
      </w:r>
      <w:r>
        <w:rPr>
          <w:rFonts w:hint="cs"/>
          <w:rtl/>
          <w:lang w:bidi="fa-IR"/>
        </w:rPr>
        <w:t>‌</w:t>
      </w:r>
      <w:r w:rsidR="00DA0575" w:rsidRPr="00B47843">
        <w:rPr>
          <w:rFonts w:hint="cs"/>
          <w:rtl/>
          <w:lang w:bidi="fa-IR"/>
        </w:rPr>
        <w:t>المللی قابل اعمال، درخواست اجرای رأی داوری خارجی را در انگلستان بنماید، باید وجود یک قرارداد معتبر به موجب قانون مناسب قرارداد، انجام رسیدگی داوری به موجب قرارداد مزبور، صدور رأی به موجب مقررات این قرارداد و اعتبار آن طبق موازین حقوقی قانون محل رسیدگی و صدور رأی را اثبات کند.</w:t>
      </w:r>
      <w:r w:rsidR="00DA0575" w:rsidRPr="00B47843">
        <w:rPr>
          <w:rStyle w:val="FootnoteReference"/>
          <w:rtl/>
          <w:lang w:bidi="fa-IR"/>
        </w:rPr>
        <w:footnoteReference w:id="27"/>
      </w:r>
      <w:r w:rsidR="001F106E" w:rsidRPr="00B47843">
        <w:rPr>
          <w:rFonts w:hint="cs"/>
          <w:rtl/>
          <w:lang w:bidi="fa-IR"/>
        </w:rPr>
        <w:t xml:space="preserve"> پس از احراز صحت قرارداد و رأی داوری، ذی</w:t>
      </w:r>
      <w:r>
        <w:rPr>
          <w:rFonts w:hint="cs"/>
          <w:rtl/>
          <w:lang w:bidi="fa-IR"/>
        </w:rPr>
        <w:t>‌</w:t>
      </w:r>
      <w:r w:rsidR="001F106E" w:rsidRPr="00B47843">
        <w:rPr>
          <w:rFonts w:hint="cs"/>
          <w:rtl/>
          <w:lang w:bidi="fa-IR"/>
        </w:rPr>
        <w:t>نفع رأی می</w:t>
      </w:r>
      <w:r>
        <w:rPr>
          <w:rFonts w:hint="cs"/>
          <w:rtl/>
          <w:lang w:bidi="fa-IR"/>
        </w:rPr>
        <w:t>‌</w:t>
      </w:r>
      <w:r w:rsidR="001F106E" w:rsidRPr="00B47843">
        <w:rPr>
          <w:rFonts w:hint="cs"/>
          <w:rtl/>
          <w:lang w:bidi="fa-IR"/>
        </w:rPr>
        <w:t>تواند طی دعوایی بر اساس قرارداد داوری محکو</w:t>
      </w:r>
      <w:r>
        <w:rPr>
          <w:rFonts w:hint="cs"/>
          <w:rtl/>
          <w:lang w:bidi="fa-IR"/>
        </w:rPr>
        <w:t>م به را مطالبه و به میزان محکوم‌</w:t>
      </w:r>
      <w:r w:rsidR="001F106E" w:rsidRPr="00B47843">
        <w:rPr>
          <w:rFonts w:hint="cs"/>
          <w:rtl/>
          <w:lang w:bidi="fa-IR"/>
        </w:rPr>
        <w:t>به و خسارات حاصله از تأخیر در اجرای رأی، از دادگاه انگلستان حکمی به دست آورد. این شیوه اجرا، همانند شیوه سنتی مربوط به اجرای آرای داوری داخلی به عنوان قرارداد است،</w:t>
      </w:r>
      <w:r w:rsidR="001F106E" w:rsidRPr="00B47843">
        <w:rPr>
          <w:rStyle w:val="FootnoteReference"/>
          <w:rtl/>
          <w:lang w:bidi="fa-IR"/>
        </w:rPr>
        <w:footnoteReference w:id="28"/>
      </w:r>
      <w:r w:rsidR="001F106E" w:rsidRPr="00B47843">
        <w:rPr>
          <w:rFonts w:hint="cs"/>
          <w:rtl/>
          <w:lang w:bidi="fa-IR"/>
        </w:rPr>
        <w:t xml:space="preserve"> با این تفاوت که باید قبلاً حکمی دائر بر احراز اعتبار قرارداد و رأی داوری خارجی از دادگاه انگلیسی تحصیل نمود. منشأ این تشریفات اضافی، نه تفاوت ماهوی آرای داوری داخلی و خارجی، بلکه لزوم تسجیل رأی داوری خارجی است.</w:t>
      </w:r>
      <w:r w:rsidR="001F106E" w:rsidRPr="00B47843">
        <w:rPr>
          <w:rStyle w:val="FootnoteReference"/>
          <w:rtl/>
          <w:lang w:bidi="fa-IR"/>
        </w:rPr>
        <w:footnoteReference w:id="29"/>
      </w:r>
    </w:p>
    <w:p w:rsidR="001F106E" w:rsidRPr="00B47843" w:rsidRDefault="001F106E" w:rsidP="004C2DA3">
      <w:pPr>
        <w:bidi/>
        <w:spacing w:before="240"/>
        <w:ind w:firstLine="360"/>
        <w:jc w:val="mediumKashida"/>
        <w:rPr>
          <w:rtl/>
          <w:lang w:bidi="fa-IR"/>
        </w:rPr>
      </w:pPr>
      <w:r w:rsidRPr="00B47843">
        <w:rPr>
          <w:rFonts w:hint="cs"/>
          <w:rtl/>
          <w:lang w:bidi="fa-IR"/>
        </w:rPr>
        <w:t>در عمل، به نظر می</w:t>
      </w:r>
      <w:r w:rsidR="009C78CE">
        <w:rPr>
          <w:rFonts w:hint="cs"/>
          <w:rtl/>
          <w:lang w:bidi="fa-IR"/>
        </w:rPr>
        <w:t>‌</w:t>
      </w:r>
      <w:r w:rsidRPr="00B47843">
        <w:rPr>
          <w:rFonts w:hint="cs"/>
          <w:rtl/>
          <w:lang w:bidi="fa-IR"/>
        </w:rPr>
        <w:t xml:space="preserve">رسد استفاده از این شیوه که در گذشته بسیار نادر بوده، در آینده به طور کلی </w:t>
      </w:r>
      <w:r w:rsidR="00090D55" w:rsidRPr="00B47843">
        <w:rPr>
          <w:rFonts w:hint="cs"/>
          <w:rtl/>
          <w:lang w:bidi="fa-IR"/>
        </w:rPr>
        <w:t>مطرود و منتفی</w:t>
      </w:r>
      <w:r w:rsidR="00723F52">
        <w:rPr>
          <w:rFonts w:hint="cs"/>
          <w:rtl/>
          <w:lang w:bidi="fa-IR"/>
        </w:rPr>
        <w:t xml:space="preserve"> خواهد شد. زیرا در گذشته، محکوم‌</w:t>
      </w:r>
      <w:r w:rsidR="00090D55" w:rsidRPr="00B47843">
        <w:rPr>
          <w:rFonts w:hint="cs"/>
          <w:rtl/>
          <w:lang w:bidi="fa-IR"/>
        </w:rPr>
        <w:t>له یک رأی داوری خارجی، تنها در صورتی به این طریق متوسل می</w:t>
      </w:r>
      <w:r w:rsidR="00723F52">
        <w:rPr>
          <w:rFonts w:hint="cs"/>
          <w:rtl/>
          <w:lang w:bidi="fa-IR"/>
        </w:rPr>
        <w:t>‌</w:t>
      </w:r>
      <w:r w:rsidR="00090D55" w:rsidRPr="00B47843">
        <w:rPr>
          <w:rFonts w:hint="cs"/>
          <w:rtl/>
          <w:lang w:bidi="fa-IR"/>
        </w:rPr>
        <w:t>شد که رأی مزبور مشمول معاهدات چندجانبه  به ویژه کنوانسیون نیویورک و معاهدات ژنو نمی</w:t>
      </w:r>
      <w:r w:rsidR="00723F52">
        <w:rPr>
          <w:rFonts w:hint="cs"/>
          <w:rtl/>
          <w:lang w:bidi="fa-IR"/>
        </w:rPr>
        <w:t>‌</w:t>
      </w:r>
      <w:r w:rsidR="00090D55" w:rsidRPr="00B47843">
        <w:rPr>
          <w:rFonts w:hint="cs"/>
          <w:rtl/>
          <w:lang w:bidi="fa-IR"/>
        </w:rPr>
        <w:t xml:space="preserve">گردید و از </w:t>
      </w:r>
      <w:r w:rsidR="00090D55" w:rsidRPr="00B47843">
        <w:rPr>
          <w:rFonts w:hint="cs"/>
          <w:rtl/>
          <w:lang w:bidi="fa-IR"/>
        </w:rPr>
        <w:lastRenderedPageBreak/>
        <w:t>طریق سیستم ثبت ساده موضوع «قانون احکام خارجی</w:t>
      </w:r>
      <w:r w:rsidR="008E51B4">
        <w:rPr>
          <w:rFonts w:hint="cs"/>
          <w:rtl/>
          <w:lang w:bidi="fa-IR"/>
        </w:rPr>
        <w:t xml:space="preserve"> </w:t>
      </w:r>
      <w:r w:rsidR="00090D55" w:rsidRPr="00B47843">
        <w:rPr>
          <w:rFonts w:hint="cs"/>
          <w:rtl/>
          <w:lang w:bidi="fa-IR"/>
        </w:rPr>
        <w:t>(اجرای متقابل) 1933» -که نسبت به آرای داوری خارجی نیز تحت شرایطی قابل اعمال است- قابل اجرا نبود. یعنی می</w:t>
      </w:r>
      <w:r w:rsidR="009C78CE">
        <w:rPr>
          <w:rFonts w:hint="cs"/>
          <w:rtl/>
          <w:lang w:bidi="fa-IR"/>
        </w:rPr>
        <w:t>‌</w:t>
      </w:r>
      <w:r w:rsidR="00090D55" w:rsidRPr="00B47843">
        <w:rPr>
          <w:rFonts w:hint="cs"/>
          <w:rtl/>
          <w:lang w:bidi="fa-IR"/>
        </w:rPr>
        <w:t>توانست از طریق طرح دعوی (که ممکن است شخصی یا عینی باشد)، اجرای رأی مزبور را بخواهد. ولی منشأ دعوا، توافق طرفین برای تسلیم به داوری بود، نه خود رأی.</w:t>
      </w:r>
      <w:r w:rsidR="00090D55" w:rsidRPr="00B47843">
        <w:rPr>
          <w:rStyle w:val="FootnoteReference"/>
          <w:rtl/>
          <w:lang w:bidi="fa-IR"/>
        </w:rPr>
        <w:footnoteReference w:id="30"/>
      </w:r>
    </w:p>
    <w:p w:rsidR="00293E35" w:rsidRPr="00B47843" w:rsidRDefault="00293E35" w:rsidP="004C2DA3">
      <w:pPr>
        <w:bidi/>
        <w:spacing w:before="240"/>
        <w:ind w:firstLine="360"/>
        <w:jc w:val="mediumKashida"/>
        <w:rPr>
          <w:rtl/>
          <w:lang w:bidi="fa-IR"/>
        </w:rPr>
      </w:pPr>
      <w:r w:rsidRPr="00B47843">
        <w:rPr>
          <w:rFonts w:hint="cs"/>
          <w:rtl/>
          <w:lang w:bidi="fa-IR"/>
        </w:rPr>
        <w:t>در آینده و در واقع، از تاریخ به اجرا در آمد</w:t>
      </w:r>
      <w:r w:rsidR="00F6038F" w:rsidRPr="00B47843">
        <w:rPr>
          <w:rFonts w:hint="cs"/>
          <w:rtl/>
          <w:lang w:bidi="fa-IR"/>
        </w:rPr>
        <w:t>ن قانون داوری 1996 که به موجب ماده دو، مقررات بسیار ساده موضوع ماده 66 در مورد اجرای رأی داوری را نسبت به آرای صادره در داوری</w:t>
      </w:r>
      <w:r w:rsidR="008E51B4">
        <w:rPr>
          <w:rFonts w:hint="cs"/>
          <w:rtl/>
          <w:lang w:bidi="fa-IR"/>
        </w:rPr>
        <w:t>‌</w:t>
      </w:r>
      <w:r w:rsidR="00F6038F" w:rsidRPr="00B47843">
        <w:rPr>
          <w:rFonts w:hint="cs"/>
          <w:rtl/>
          <w:lang w:bidi="fa-IR"/>
        </w:rPr>
        <w:t>های برگزار شده در خارج از انگلستان و ولز و ایرلند شمالی نیز قابل اعمال می</w:t>
      </w:r>
      <w:r w:rsidR="008E51B4">
        <w:rPr>
          <w:rFonts w:hint="cs"/>
          <w:rtl/>
          <w:lang w:bidi="fa-IR"/>
        </w:rPr>
        <w:t>‌</w:t>
      </w:r>
      <w:r w:rsidR="00F6038F" w:rsidRPr="00B47843">
        <w:rPr>
          <w:rFonts w:hint="cs"/>
          <w:rtl/>
          <w:lang w:bidi="fa-IR"/>
        </w:rPr>
        <w:t>داند، فصل جدیدی در اجرای آرای داوری خارجی باز گردیده است. به موجب این ماده رأی داوری صادره پیرو یک قرارداد داوری با تحصیل اجازه دادگاه، همانند</w:t>
      </w:r>
      <w:r w:rsidR="0029020A" w:rsidRPr="00B47843">
        <w:rPr>
          <w:rFonts w:hint="cs"/>
          <w:rtl/>
          <w:lang w:bidi="fa-IR"/>
        </w:rPr>
        <w:t xml:space="preserve"> حکم یا دستور دادگاه اجرا خواهد شد.</w:t>
      </w:r>
      <w:r w:rsidR="0029020A" w:rsidRPr="00B47843">
        <w:rPr>
          <w:rStyle w:val="FootnoteReference"/>
          <w:rtl/>
          <w:lang w:bidi="fa-IR"/>
        </w:rPr>
        <w:footnoteReference w:id="31"/>
      </w:r>
    </w:p>
    <w:p w:rsidR="0029020A" w:rsidRPr="00B47843" w:rsidRDefault="0029020A" w:rsidP="004C2DA3">
      <w:pPr>
        <w:bidi/>
        <w:spacing w:before="240"/>
        <w:ind w:firstLine="360"/>
        <w:jc w:val="mediumKashida"/>
        <w:rPr>
          <w:rtl/>
          <w:lang w:bidi="fa-IR"/>
        </w:rPr>
      </w:pPr>
      <w:r w:rsidRPr="00B47843">
        <w:rPr>
          <w:rFonts w:hint="cs"/>
          <w:rtl/>
          <w:lang w:bidi="fa-IR"/>
        </w:rPr>
        <w:t>با توجه به توضیحات فوق، در عمل، اکثریت قریب به اتفاق آرای داوری خارجی در انگلستان بر اساس کنوانسیون نیویورک یا ماده 66 قانون داوری جدید و تعداد کمی نیز بر اساس معاهدات ژنو یا «قانون احکام خارجی (اجرای متقابل) 1933» و موارد نادر و اتفاقی نیز از طریق سنتی کامن لا که تشریح گردید، اجرا می</w:t>
      </w:r>
      <w:r w:rsidRPr="00B47843">
        <w:rPr>
          <w:rtl/>
          <w:lang w:bidi="fa-IR"/>
        </w:rPr>
        <w:softHyphen/>
      </w:r>
      <w:r w:rsidRPr="00B47843">
        <w:rPr>
          <w:rFonts w:hint="cs"/>
          <w:rtl/>
          <w:lang w:bidi="fa-IR"/>
        </w:rPr>
        <w:t>شوند. به طوری که برخی نویسندگان گفته</w:t>
      </w:r>
      <w:r w:rsidR="008E51B4">
        <w:rPr>
          <w:rFonts w:hint="cs"/>
          <w:rtl/>
          <w:lang w:bidi="fa-IR"/>
        </w:rPr>
        <w:t>‌</w:t>
      </w:r>
      <w:r w:rsidRPr="00B47843">
        <w:rPr>
          <w:rFonts w:hint="cs"/>
          <w:rtl/>
          <w:lang w:bidi="fa-IR"/>
        </w:rPr>
        <w:t>اند کسانی که با کارهای عملی حقوقی سر و کار دارند، در زمینه اجرای آرای داوری خارجی، تقریبا منحصراً نسبت به بررسی نحوه اعمال کنوانسیون نیویورک در انگلستان علاقه</w:t>
      </w:r>
      <w:r w:rsidR="009C78CE">
        <w:rPr>
          <w:rFonts w:hint="cs"/>
          <w:rtl/>
          <w:lang w:bidi="fa-IR"/>
        </w:rPr>
        <w:t>‌</w:t>
      </w:r>
      <w:r w:rsidRPr="00B47843">
        <w:rPr>
          <w:rFonts w:hint="cs"/>
          <w:rtl/>
          <w:lang w:bidi="fa-IR"/>
        </w:rPr>
        <w:t xml:space="preserve">مند هستند. درست است که کنوانسیون نیویورک به طور استثنایی نسبت به آرای صادره در خود کشور محل اجرا، </w:t>
      </w:r>
      <w:r w:rsidRPr="00B47843">
        <w:rPr>
          <w:rFonts w:hint="cs"/>
          <w:rtl/>
          <w:lang w:bidi="fa-IR"/>
        </w:rPr>
        <w:lastRenderedPageBreak/>
        <w:t>در صورتی که غیر داخلی تلقی شوند، نیز اعمال می</w:t>
      </w:r>
      <w:r w:rsidR="009C78CE">
        <w:rPr>
          <w:rFonts w:hint="cs"/>
          <w:rtl/>
          <w:lang w:bidi="fa-IR"/>
        </w:rPr>
        <w:t>‌</w:t>
      </w:r>
      <w:r w:rsidRPr="00B47843">
        <w:rPr>
          <w:rFonts w:hint="cs"/>
          <w:rtl/>
          <w:lang w:bidi="fa-IR"/>
        </w:rPr>
        <w:t>شود. همچنین درست است که امکان دارد رأی، مستقل از کنوانسیون نیویورک، بر اساس دیگر معاهدات بین</w:t>
      </w:r>
      <w:r w:rsidR="00723F52">
        <w:rPr>
          <w:rFonts w:hint="cs"/>
          <w:rtl/>
          <w:lang w:bidi="fa-IR"/>
        </w:rPr>
        <w:t>‌</w:t>
      </w:r>
      <w:r w:rsidRPr="00B47843">
        <w:rPr>
          <w:rFonts w:hint="cs"/>
          <w:rtl/>
          <w:lang w:bidi="fa-IR"/>
        </w:rPr>
        <w:t>المللی، مانند کنوانسیون واشنگتن یا بر اساس قواعد و مبانی عمومی کشور محل اجرا، به مرحله اجرا گذاشته شود. ولی این فروض بسیار دور و بعید است.</w:t>
      </w:r>
      <w:r w:rsidRPr="00B47843">
        <w:rPr>
          <w:rStyle w:val="FootnoteReference"/>
          <w:rtl/>
          <w:lang w:bidi="fa-IR"/>
        </w:rPr>
        <w:footnoteReference w:id="32"/>
      </w:r>
    </w:p>
    <w:p w:rsidR="008D7460" w:rsidRPr="00B47843" w:rsidRDefault="008D7460" w:rsidP="004C2DA3">
      <w:pPr>
        <w:bidi/>
        <w:spacing w:before="240"/>
        <w:ind w:firstLine="360"/>
        <w:jc w:val="mediumKashida"/>
        <w:rPr>
          <w:rtl/>
          <w:lang w:bidi="fa-IR"/>
        </w:rPr>
      </w:pPr>
      <w:r w:rsidRPr="00B47843">
        <w:rPr>
          <w:rFonts w:hint="cs"/>
          <w:rtl/>
          <w:lang w:bidi="fa-IR"/>
        </w:rPr>
        <w:t>به هر حال، تا آنجا که به آرای مشمول کنوانسیون نیویورک مربوط می</w:t>
      </w:r>
      <w:r w:rsidR="008E51B4">
        <w:rPr>
          <w:rFonts w:hint="cs"/>
          <w:rtl/>
          <w:lang w:bidi="fa-IR"/>
        </w:rPr>
        <w:t>‌</w:t>
      </w:r>
      <w:r w:rsidRPr="00B47843">
        <w:rPr>
          <w:rFonts w:hint="cs"/>
          <w:rtl/>
          <w:lang w:bidi="fa-IR"/>
        </w:rPr>
        <w:t>شود، مطابق مواد 100 تا 104 قانون داوری 1996، به درخواست خواهان اجرای رأی داوری و با دستور دادگاه شهرستان (به طور معمول یا با اجازه مدیر دفتر یا دادرس)، با تشریفات بسیار ساده، به این</w:t>
      </w:r>
      <w:r w:rsidR="008E51B4">
        <w:rPr>
          <w:rFonts w:hint="cs"/>
          <w:rtl/>
          <w:lang w:bidi="fa-IR"/>
        </w:rPr>
        <w:t>‌</w:t>
      </w:r>
      <w:r w:rsidRPr="00B47843">
        <w:rPr>
          <w:rFonts w:hint="cs"/>
          <w:rtl/>
          <w:lang w:bidi="fa-IR"/>
        </w:rPr>
        <w:t>گونه آراء قوه اجرایی اعطا می</w:t>
      </w:r>
      <w:r w:rsidR="008E51B4">
        <w:rPr>
          <w:rFonts w:hint="cs"/>
          <w:rtl/>
          <w:lang w:bidi="fa-IR"/>
        </w:rPr>
        <w:t>‌</w:t>
      </w:r>
      <w:r w:rsidRPr="00B47843">
        <w:rPr>
          <w:rFonts w:hint="cs"/>
          <w:rtl/>
          <w:lang w:bidi="fa-IR"/>
        </w:rPr>
        <w:t>شود و بدین ترتیب همانند یک رأی انگلیسی قابل اجرا هستند. موانع اجرا نیز مطابق ماده 103 قانون داوری 1996، همان موانع مندرج در کنوانسیون نیویورک و کاملاً حصری است.</w:t>
      </w:r>
      <w:r w:rsidRPr="00B47843">
        <w:rPr>
          <w:rStyle w:val="FootnoteReference"/>
          <w:rtl/>
          <w:lang w:bidi="fa-IR"/>
        </w:rPr>
        <w:footnoteReference w:id="33"/>
      </w:r>
    </w:p>
    <w:p w:rsidR="006F7D97" w:rsidRPr="00B47843" w:rsidRDefault="008D7460" w:rsidP="00C34789">
      <w:pPr>
        <w:bidi/>
        <w:ind w:firstLine="360"/>
        <w:jc w:val="mediumKashida"/>
        <w:rPr>
          <w:rtl/>
          <w:lang w:bidi="fa-IR"/>
        </w:rPr>
      </w:pPr>
      <w:r w:rsidRPr="00B47843">
        <w:rPr>
          <w:rFonts w:hint="cs"/>
          <w:rtl/>
          <w:lang w:bidi="fa-IR"/>
        </w:rPr>
        <w:t>به علاوه قانون داوری 1996، بخش دو قانون داوری 1950 در مورد آرای داوری مشمول کنوانسیون ژنو را همچنان معتبر می</w:t>
      </w:r>
      <w:r w:rsidR="00723F52">
        <w:rPr>
          <w:rFonts w:hint="cs"/>
          <w:rtl/>
          <w:lang w:bidi="fa-IR"/>
        </w:rPr>
        <w:t>‌</w:t>
      </w:r>
      <w:r w:rsidRPr="00B47843">
        <w:rPr>
          <w:rFonts w:hint="cs"/>
          <w:rtl/>
          <w:lang w:bidi="fa-IR"/>
        </w:rPr>
        <w:t xml:space="preserve">داند. قانون داوری 1950 در بند دو ماده چهار و ماده 35، به </w:t>
      </w:r>
      <w:r w:rsidR="005A773C" w:rsidRPr="00B47843">
        <w:rPr>
          <w:rFonts w:hint="cs"/>
          <w:rtl/>
          <w:lang w:bidi="fa-IR"/>
        </w:rPr>
        <w:t>پروتکل ژنو 1923 (راجع به شروط داوری) و در ماده 35 به کنوانسیون ژنو 1927 (راجع به اجرای آرای داوری) قدرت اجرایی داده است. در مقابل آرای مشمول کنوانسیون نیویورک که اصطلاحاً به آرای کنوانسیون</w:t>
      </w:r>
      <w:r w:rsidR="005A773C" w:rsidRPr="00B47843">
        <w:rPr>
          <w:rStyle w:val="FootnoteReference"/>
          <w:rtl/>
          <w:lang w:bidi="fa-IR"/>
        </w:rPr>
        <w:footnoteReference w:id="34"/>
      </w:r>
      <w:r w:rsidR="005A773C" w:rsidRPr="00B47843">
        <w:rPr>
          <w:rFonts w:hint="cs"/>
          <w:rtl/>
          <w:lang w:bidi="fa-IR"/>
        </w:rPr>
        <w:t xml:space="preserve"> معروف شده</w:t>
      </w:r>
      <w:r w:rsidR="00723F52">
        <w:rPr>
          <w:rFonts w:hint="cs"/>
          <w:rtl/>
          <w:lang w:bidi="fa-IR"/>
        </w:rPr>
        <w:t>‌</w:t>
      </w:r>
      <w:r w:rsidR="005A773C" w:rsidRPr="00B47843">
        <w:rPr>
          <w:rFonts w:hint="cs"/>
          <w:rtl/>
          <w:lang w:bidi="fa-IR"/>
        </w:rPr>
        <w:t>اند، آرای مشمول این معاهدات به آرای داوری خارجی</w:t>
      </w:r>
      <w:r w:rsidR="005A773C" w:rsidRPr="00B47843">
        <w:rPr>
          <w:rStyle w:val="FootnoteReference"/>
          <w:rtl/>
          <w:lang w:bidi="fa-IR"/>
        </w:rPr>
        <w:footnoteReference w:id="35"/>
      </w:r>
      <w:r w:rsidR="005A773C" w:rsidRPr="00B47843">
        <w:rPr>
          <w:rFonts w:hint="cs"/>
          <w:rtl/>
          <w:lang w:bidi="fa-IR"/>
        </w:rPr>
        <w:t xml:space="preserve"> معروفند.</w:t>
      </w:r>
      <w:r w:rsidR="006514EE" w:rsidRPr="00B47843">
        <w:rPr>
          <w:rFonts w:hint="cs"/>
          <w:rtl/>
          <w:lang w:bidi="fa-IR"/>
        </w:rPr>
        <w:t xml:space="preserve"> با توجه به مقررات مندرج در مواد 36 و 37 قانون داوری، اینگونه آراء نیز همانند یک رأی </w:t>
      </w:r>
      <w:r w:rsidR="006514EE" w:rsidRPr="00B47843">
        <w:rPr>
          <w:rFonts w:hint="cs"/>
          <w:rtl/>
          <w:lang w:bidi="fa-IR"/>
        </w:rPr>
        <w:lastRenderedPageBreak/>
        <w:t>انگلیسی در محدوده صلاحیت دادگاه</w:t>
      </w:r>
      <w:r w:rsidR="00723F52">
        <w:rPr>
          <w:rFonts w:hint="cs"/>
          <w:rtl/>
          <w:lang w:bidi="fa-IR"/>
        </w:rPr>
        <w:t>‌</w:t>
      </w:r>
      <w:r w:rsidR="006514EE" w:rsidRPr="00B47843">
        <w:rPr>
          <w:rFonts w:hint="cs"/>
          <w:rtl/>
          <w:lang w:bidi="fa-IR"/>
        </w:rPr>
        <w:t>های انگلستان قابل اجرا هستند، مشروط بر اینکه: از یک موافقتنامه داوری که به موجب قانون مناسب خود معتبر است، ناشی شده باشند؛ از دیوان داوری</w:t>
      </w:r>
      <w:r w:rsidR="00723F52">
        <w:rPr>
          <w:rFonts w:hint="cs"/>
          <w:rtl/>
          <w:lang w:bidi="fa-IR"/>
        </w:rPr>
        <w:t>‌</w:t>
      </w:r>
      <w:r w:rsidR="006514EE" w:rsidRPr="00B47843">
        <w:rPr>
          <w:rFonts w:hint="cs"/>
          <w:rtl/>
          <w:lang w:bidi="fa-IR"/>
        </w:rPr>
        <w:t>ای صادر شده باشند که به نحو مقرر در موافقتنامه داوری یا به طریق دیگری که مورد توافق طرفین دعوی است، تشکیل شده باشد؛ در کشور محل صدور نهایی باشند؛ ناظر به اختلافات قابل داوری در حقوق انگلستان باشند؛ و بالاخره مغایر نظم عمومی کشور انگلستان نباشند.</w:t>
      </w:r>
      <w:r w:rsidR="006514EE" w:rsidRPr="00B47843">
        <w:rPr>
          <w:rStyle w:val="FootnoteReference"/>
          <w:rtl/>
          <w:lang w:bidi="fa-IR"/>
        </w:rPr>
        <w:footnoteReference w:id="36"/>
      </w:r>
      <w:r w:rsidR="006C139B" w:rsidRPr="00B47843">
        <w:rPr>
          <w:rFonts w:hint="cs"/>
          <w:rtl/>
          <w:lang w:bidi="fa-IR"/>
        </w:rPr>
        <w:t xml:space="preserve"> چنانچه دادگاه انگلیسی محل درخواست اجرا، با رأی داوری خارجی مواجه شود که در کشور محل صدور ابطال شده است، یا حاوی بی</w:t>
      </w:r>
      <w:r w:rsidR="001A6BD8">
        <w:rPr>
          <w:rFonts w:hint="cs"/>
          <w:rtl/>
          <w:lang w:bidi="fa-IR"/>
        </w:rPr>
        <w:t>‌</w:t>
      </w:r>
      <w:r w:rsidR="006C139B" w:rsidRPr="00B47843">
        <w:rPr>
          <w:rFonts w:hint="cs"/>
          <w:rtl/>
          <w:lang w:bidi="fa-IR"/>
        </w:rPr>
        <w:t>نظمی و بی</w:t>
      </w:r>
      <w:r w:rsidR="001A6BD8">
        <w:rPr>
          <w:rFonts w:hint="cs"/>
          <w:rtl/>
          <w:lang w:bidi="fa-IR"/>
        </w:rPr>
        <w:t>‌</w:t>
      </w:r>
      <w:r w:rsidR="006C139B" w:rsidRPr="00B47843">
        <w:rPr>
          <w:rFonts w:hint="cs"/>
          <w:rtl/>
          <w:lang w:bidi="fa-IR"/>
        </w:rPr>
        <w:t>قانونی مخّل حق دفاع است، یا خارج از حدود توافقنامه داوری است، آن را اجرا نخواهد کرد.</w:t>
      </w:r>
      <w:r w:rsidR="006C139B" w:rsidRPr="00B47843">
        <w:rPr>
          <w:rStyle w:val="FootnoteReference"/>
          <w:rtl/>
          <w:lang w:bidi="fa-IR"/>
        </w:rPr>
        <w:footnoteReference w:id="37"/>
      </w:r>
    </w:p>
    <w:p w:rsidR="00EC5516" w:rsidRDefault="00521D85" w:rsidP="00C34789">
      <w:pPr>
        <w:pStyle w:val="Heading4"/>
      </w:pPr>
      <w:r>
        <w:rPr>
          <w:rFonts w:hint="cs"/>
          <w:rtl/>
        </w:rPr>
        <w:t xml:space="preserve">2-1-3-ب) </w:t>
      </w:r>
      <w:r w:rsidR="00EC5516" w:rsidRPr="00521D85">
        <w:rPr>
          <w:rFonts w:hint="cs"/>
          <w:rtl/>
        </w:rPr>
        <w:t>ایالات متحده امریکا</w:t>
      </w:r>
    </w:p>
    <w:p w:rsidR="00C34789" w:rsidRPr="00C34789" w:rsidRDefault="00C34789" w:rsidP="00C34789">
      <w:pPr>
        <w:rPr>
          <w:rtl/>
          <w:lang w:bidi="fa-IR"/>
        </w:rPr>
      </w:pPr>
    </w:p>
    <w:p w:rsidR="0005418D" w:rsidRPr="00B47843" w:rsidRDefault="00ED2968" w:rsidP="004C2DA3">
      <w:pPr>
        <w:bidi/>
        <w:ind w:firstLine="360"/>
        <w:jc w:val="mediumKashida"/>
        <w:rPr>
          <w:rtl/>
          <w:lang w:bidi="fa-IR"/>
        </w:rPr>
      </w:pPr>
      <w:r w:rsidRPr="00B47843">
        <w:rPr>
          <w:rFonts w:hint="cs"/>
          <w:rtl/>
          <w:lang w:bidi="fa-IR"/>
        </w:rPr>
        <w:t>در ایالات متحده، به عنوان یکی ا</w:t>
      </w:r>
      <w:r w:rsidR="00723F52">
        <w:rPr>
          <w:rFonts w:hint="cs"/>
          <w:rtl/>
          <w:lang w:bidi="fa-IR"/>
        </w:rPr>
        <w:t>ز کشورهای دارای نظام حقوقی کامن‌</w:t>
      </w:r>
      <w:r w:rsidRPr="00B47843">
        <w:rPr>
          <w:rFonts w:hint="cs"/>
          <w:rtl/>
          <w:lang w:bidi="fa-IR"/>
        </w:rPr>
        <w:t>لا، روش دوم اجرای آرای داوری خارجی، یعنی تشبیه آنها به آرای داوری داخلی و نه احکام محاکم خارجی دیده می</w:t>
      </w:r>
      <w:r w:rsidR="00723F52">
        <w:rPr>
          <w:rFonts w:hint="cs"/>
          <w:rtl/>
          <w:lang w:bidi="fa-IR"/>
        </w:rPr>
        <w:t>‌</w:t>
      </w:r>
      <w:r w:rsidRPr="00B47843">
        <w:rPr>
          <w:rFonts w:hint="cs"/>
          <w:rtl/>
          <w:lang w:bidi="fa-IR"/>
        </w:rPr>
        <w:t>شود. با این وصف باید دو فرض اصلی را از هم تفکیک نمود. فرضی که اجرای رأی تحت شمول یک معاهده بین</w:t>
      </w:r>
      <w:r w:rsidR="00723F52">
        <w:rPr>
          <w:rFonts w:hint="cs"/>
          <w:rtl/>
          <w:lang w:bidi="fa-IR"/>
        </w:rPr>
        <w:t>‌</w:t>
      </w:r>
      <w:r w:rsidRPr="00B47843">
        <w:rPr>
          <w:rFonts w:hint="cs"/>
          <w:rtl/>
          <w:lang w:bidi="fa-IR"/>
        </w:rPr>
        <w:t>المللی قرار دارد و فرضی که به واسطه عدم شمول هیچ معاهده دوجانبه یا چندجانبه بین</w:t>
      </w:r>
      <w:r w:rsidR="00723F52">
        <w:rPr>
          <w:rFonts w:hint="cs"/>
          <w:rtl/>
          <w:lang w:bidi="fa-IR"/>
        </w:rPr>
        <w:t>‌</w:t>
      </w:r>
      <w:r w:rsidRPr="00B47843">
        <w:rPr>
          <w:rFonts w:hint="cs"/>
          <w:rtl/>
          <w:lang w:bidi="fa-IR"/>
        </w:rPr>
        <w:t>المللی، اجرای آرای داوری خارجی باید بر اساس حقوق داخلی و به تبع، با توجه  به سیستم فدرالیسم، بر اساس حقوق ایالت محل درخواست اجرا به عمل آید.</w:t>
      </w:r>
    </w:p>
    <w:p w:rsidR="00142678" w:rsidRPr="00B47843" w:rsidRDefault="00ED2968" w:rsidP="004C2DA3">
      <w:pPr>
        <w:bidi/>
        <w:ind w:firstLine="360"/>
        <w:jc w:val="mediumKashida"/>
        <w:rPr>
          <w:rtl/>
          <w:lang w:bidi="fa-IR"/>
        </w:rPr>
      </w:pPr>
      <w:r w:rsidRPr="00B47843">
        <w:rPr>
          <w:rFonts w:hint="cs"/>
          <w:rtl/>
          <w:lang w:bidi="fa-IR"/>
        </w:rPr>
        <w:lastRenderedPageBreak/>
        <w:t>در مورد فرض اول باید متعرض قانون داوری فدرال شد که فصل دوم و سوم آن ناظر به اجرای آرای داوری خارجی است که داخلی تلقی نمی</w:t>
      </w:r>
      <w:r w:rsidR="00723F52">
        <w:rPr>
          <w:rFonts w:hint="cs"/>
          <w:rtl/>
          <w:lang w:bidi="fa-IR"/>
        </w:rPr>
        <w:t>‌</w:t>
      </w:r>
      <w:r w:rsidRPr="00B47843">
        <w:rPr>
          <w:rFonts w:hint="cs"/>
          <w:rtl/>
          <w:lang w:bidi="fa-IR"/>
        </w:rPr>
        <w:t>شوند. این فصول به ترتیب، کنوانسیون نیویورک و کنوانسیون  بین کشورهای آمریکایی راجع به اجرای آرای داوری تجاری بین</w:t>
      </w:r>
      <w:r w:rsidR="00723F52">
        <w:rPr>
          <w:rFonts w:hint="cs"/>
          <w:rtl/>
          <w:lang w:bidi="fa-IR"/>
        </w:rPr>
        <w:t>‌</w:t>
      </w:r>
      <w:r w:rsidRPr="00B47843">
        <w:rPr>
          <w:rFonts w:hint="cs"/>
          <w:rtl/>
          <w:lang w:bidi="fa-IR"/>
        </w:rPr>
        <w:t>المللی (کنوانسی</w:t>
      </w:r>
      <w:r w:rsidR="00D04BEB" w:rsidRPr="00B47843">
        <w:rPr>
          <w:rFonts w:hint="cs"/>
          <w:rtl/>
          <w:lang w:bidi="fa-IR"/>
        </w:rPr>
        <w:t>ون پاناما) را در خود ادغام کرده، به آنها اثر اجرایی بخشیده</w:t>
      </w:r>
      <w:r w:rsidR="00723F52">
        <w:rPr>
          <w:rFonts w:hint="cs"/>
          <w:rtl/>
          <w:lang w:bidi="fa-IR"/>
        </w:rPr>
        <w:t>‌</w:t>
      </w:r>
      <w:r w:rsidR="00D04BEB" w:rsidRPr="00B47843">
        <w:rPr>
          <w:rFonts w:hint="cs"/>
          <w:rtl/>
          <w:lang w:bidi="fa-IR"/>
        </w:rPr>
        <w:t>اند. با توجه به مفاد کنوانسیون</w:t>
      </w:r>
      <w:r w:rsidR="00723F52">
        <w:rPr>
          <w:rFonts w:hint="cs"/>
          <w:rtl/>
          <w:lang w:bidi="fa-IR"/>
        </w:rPr>
        <w:t>‌</w:t>
      </w:r>
      <w:r w:rsidR="00D04BEB" w:rsidRPr="00B47843">
        <w:rPr>
          <w:rFonts w:hint="cs"/>
          <w:rtl/>
          <w:lang w:bidi="fa-IR"/>
        </w:rPr>
        <w:t>های مزبور، با اطمینان می</w:t>
      </w:r>
      <w:r w:rsidR="00723F52">
        <w:rPr>
          <w:rFonts w:hint="cs"/>
          <w:rtl/>
          <w:lang w:bidi="fa-IR"/>
        </w:rPr>
        <w:t>‌</w:t>
      </w:r>
      <w:r w:rsidR="00D04BEB" w:rsidRPr="00B47843">
        <w:rPr>
          <w:rFonts w:hint="cs"/>
          <w:rtl/>
          <w:lang w:bidi="fa-IR"/>
        </w:rPr>
        <w:t>توان گفت از نظر قانون داوری فدرال، رأی داوری خارجی، رأی صادره در کشور دیگر و رأیی است که در ایالات متحده (و به طور خاص در حقوق ایالت محل درخواست اجرا) داخلی تلقی نشود. از نظر صلاحیت نیز، بر خلاف دعاوی مشمول خود قانون داوری فدرال، دعاوی مشمول کنوانسیون</w:t>
      </w:r>
      <w:r w:rsidR="00723F52">
        <w:rPr>
          <w:rFonts w:hint="cs"/>
          <w:rtl/>
          <w:lang w:bidi="fa-IR"/>
        </w:rPr>
        <w:t>‌</w:t>
      </w:r>
      <w:r w:rsidR="00D04BEB" w:rsidRPr="00B47843">
        <w:rPr>
          <w:rFonts w:hint="cs"/>
          <w:rtl/>
          <w:lang w:bidi="fa-IR"/>
        </w:rPr>
        <w:t>های مورد اشاره، محتاج مبنای مستقلی برای صلاحیت موضوعی دادگاه</w:t>
      </w:r>
      <w:r w:rsidR="00723F52">
        <w:rPr>
          <w:rFonts w:hint="cs"/>
          <w:rtl/>
          <w:lang w:bidi="fa-IR"/>
        </w:rPr>
        <w:t>‌</w:t>
      </w:r>
      <w:r w:rsidR="00D04BEB" w:rsidRPr="00B47843">
        <w:rPr>
          <w:rFonts w:hint="cs"/>
          <w:rtl/>
          <w:lang w:bidi="fa-IR"/>
        </w:rPr>
        <w:t>های فدرال نیستند (مواد 205 و 309 قانون داوری فدرال). یکی از مهم</w:t>
      </w:r>
      <w:r w:rsidR="00723F52">
        <w:rPr>
          <w:rFonts w:hint="cs"/>
          <w:rtl/>
          <w:lang w:bidi="fa-IR"/>
        </w:rPr>
        <w:t>‌</w:t>
      </w:r>
      <w:r w:rsidR="00D04BEB" w:rsidRPr="00B47843">
        <w:rPr>
          <w:rFonts w:hint="cs"/>
          <w:rtl/>
          <w:lang w:bidi="fa-IR"/>
        </w:rPr>
        <w:t>ترین مقررات از لحاظ این بحث، ماده 207 قانون فدرال است که دادگاه</w:t>
      </w:r>
      <w:r w:rsidR="00723F52">
        <w:rPr>
          <w:rFonts w:hint="cs"/>
          <w:rtl/>
          <w:lang w:bidi="fa-IR"/>
        </w:rPr>
        <w:t>‌</w:t>
      </w:r>
      <w:r w:rsidR="00D04BEB" w:rsidRPr="00B47843">
        <w:rPr>
          <w:rFonts w:hint="cs"/>
          <w:rtl/>
          <w:lang w:bidi="fa-IR"/>
        </w:rPr>
        <w:t>های امریکا را مکلف به تأیید رأی داوری خارجی می</w:t>
      </w:r>
      <w:r w:rsidR="00723F52">
        <w:rPr>
          <w:rFonts w:hint="cs"/>
          <w:rtl/>
          <w:lang w:bidi="fa-IR"/>
        </w:rPr>
        <w:t>‌</w:t>
      </w:r>
      <w:r w:rsidR="00D04BEB" w:rsidRPr="00B47843">
        <w:rPr>
          <w:rFonts w:hint="cs"/>
          <w:rtl/>
          <w:lang w:bidi="fa-IR"/>
        </w:rPr>
        <w:t xml:space="preserve">سازد؛ «جز در مواردی که وجود یکی از مبانی امتناع یا تعویق شناسایی یا اجرای رأی مصرح در ماده پنج </w:t>
      </w:r>
      <w:r w:rsidR="00E64F00" w:rsidRPr="00B47843">
        <w:rPr>
          <w:rFonts w:hint="cs"/>
          <w:rtl/>
          <w:lang w:bidi="fa-IR"/>
        </w:rPr>
        <w:t>کنوانسیون نیویورک را تشخیص دهند</w:t>
      </w:r>
      <w:r w:rsidR="00D04BEB" w:rsidRPr="00B47843">
        <w:rPr>
          <w:rFonts w:hint="cs"/>
          <w:rtl/>
          <w:lang w:bidi="fa-IR"/>
        </w:rPr>
        <w:t>»</w:t>
      </w:r>
      <w:r w:rsidR="00E64F00" w:rsidRPr="00B47843">
        <w:rPr>
          <w:rFonts w:hint="cs"/>
          <w:rtl/>
          <w:lang w:bidi="fa-IR"/>
        </w:rPr>
        <w:t>. می</w:t>
      </w:r>
      <w:r w:rsidR="002F2C8E">
        <w:rPr>
          <w:rFonts w:hint="cs"/>
          <w:rtl/>
          <w:lang w:bidi="fa-IR"/>
        </w:rPr>
        <w:t>‌</w:t>
      </w:r>
      <w:r w:rsidR="00E64F00" w:rsidRPr="00B47843">
        <w:rPr>
          <w:rFonts w:hint="cs"/>
          <w:rtl/>
          <w:lang w:bidi="fa-IR"/>
        </w:rPr>
        <w:t>دانیم که ماده پنج کنوانسیون نیویورک هفت مبنای احتمالی را به طور حصری برای امتناع از شناسایی و اجرا فهرست کرده است. بنابراین، مسأله بی</w:t>
      </w:r>
      <w:r w:rsidR="002F2C8E">
        <w:rPr>
          <w:rFonts w:hint="cs"/>
          <w:rtl/>
          <w:lang w:bidi="fa-IR"/>
        </w:rPr>
        <w:t>‌</w:t>
      </w:r>
      <w:r w:rsidR="00E64F00" w:rsidRPr="00B47843">
        <w:rPr>
          <w:rFonts w:hint="cs"/>
          <w:rtl/>
          <w:lang w:bidi="fa-IR"/>
        </w:rPr>
        <w:t>توجهی آشکار نسبت به قانون</w:t>
      </w:r>
      <w:r w:rsidR="00142678" w:rsidRPr="00B47843">
        <w:rPr>
          <w:rFonts w:hint="cs"/>
          <w:rtl/>
          <w:lang w:bidi="fa-IR"/>
        </w:rPr>
        <w:t xml:space="preserve"> </w:t>
      </w:r>
      <w:r w:rsidR="00142678" w:rsidRPr="00B47843">
        <w:rPr>
          <w:rFonts w:ascii="Times New Roman" w:hAnsi="Times New Roman" w:cs="Times New Roman" w:hint="cs"/>
          <w:rtl/>
          <w:lang w:bidi="fa-IR"/>
        </w:rPr>
        <w:t>–</w:t>
      </w:r>
      <w:r w:rsidR="00142678" w:rsidRPr="00B47843">
        <w:rPr>
          <w:rFonts w:hint="cs"/>
          <w:rtl/>
          <w:lang w:bidi="fa-IR"/>
        </w:rPr>
        <w:t>که در حقوق داخلی امریکا از جمله مبانی ابطال است- نمی</w:t>
      </w:r>
      <w:r w:rsidR="002F2C8E">
        <w:rPr>
          <w:rFonts w:hint="cs"/>
          <w:rtl/>
          <w:lang w:bidi="fa-IR"/>
        </w:rPr>
        <w:t>‌</w:t>
      </w:r>
      <w:r w:rsidR="00142678" w:rsidRPr="00B47843">
        <w:rPr>
          <w:rFonts w:hint="cs"/>
          <w:rtl/>
          <w:lang w:bidi="fa-IR"/>
        </w:rPr>
        <w:t>تواند به عنوان یک مبنای اضافی دیگر برای امتناع از شناسایی و اجرای رأی داوری مشمول کنوانسیون مطرح شود.</w:t>
      </w:r>
      <w:r w:rsidR="00142678" w:rsidRPr="00B47843">
        <w:rPr>
          <w:rStyle w:val="FootnoteReference"/>
          <w:rtl/>
          <w:lang w:bidi="fa-IR"/>
        </w:rPr>
        <w:footnoteReference w:id="38"/>
      </w:r>
      <w:r w:rsidR="00E64F00" w:rsidRPr="00B47843">
        <w:rPr>
          <w:rFonts w:hint="cs"/>
          <w:rtl/>
          <w:lang w:bidi="fa-IR"/>
        </w:rPr>
        <w:t xml:space="preserve"> </w:t>
      </w:r>
      <w:r w:rsidR="00142678" w:rsidRPr="00B47843">
        <w:rPr>
          <w:rFonts w:hint="cs"/>
          <w:rtl/>
          <w:lang w:bidi="fa-IR"/>
        </w:rPr>
        <w:t>مفسران و متخصصان در حقوق داوری در امریکا راجع به امری یا اختیاری بودن مبانی امتناع از اجرا (موضوع ماده پنج کنوانس</w:t>
      </w:r>
      <w:r w:rsidR="00A5422F" w:rsidRPr="00B47843">
        <w:rPr>
          <w:rFonts w:hint="cs"/>
          <w:rtl/>
          <w:lang w:bidi="fa-IR"/>
        </w:rPr>
        <w:t>یون نیویورک که در ماده 207 قانون</w:t>
      </w:r>
      <w:r w:rsidR="00142678" w:rsidRPr="00B47843">
        <w:rPr>
          <w:rFonts w:hint="cs"/>
          <w:rtl/>
          <w:lang w:bidi="fa-IR"/>
        </w:rPr>
        <w:t xml:space="preserve"> داوری فدرال </w:t>
      </w:r>
      <w:r w:rsidR="00142678" w:rsidRPr="00B47843">
        <w:rPr>
          <w:rFonts w:hint="cs"/>
          <w:rtl/>
          <w:lang w:bidi="fa-IR"/>
        </w:rPr>
        <w:lastRenderedPageBreak/>
        <w:t>منعکس شده است)، به واسطه تفاوت ظاهر عبارات متن انگلیسی و فرانسوی کنوانسیون نیویورک اختلاف نظر دارند.</w:t>
      </w:r>
      <w:r w:rsidR="00142678" w:rsidRPr="00B47843">
        <w:rPr>
          <w:rStyle w:val="FootnoteReference"/>
          <w:rtl/>
          <w:lang w:bidi="fa-IR"/>
        </w:rPr>
        <w:footnoteReference w:id="39"/>
      </w:r>
    </w:p>
    <w:p w:rsidR="00142678" w:rsidRPr="00B47843" w:rsidRDefault="00A5422F" w:rsidP="004C2DA3">
      <w:pPr>
        <w:bidi/>
        <w:ind w:firstLine="360"/>
        <w:jc w:val="mediumKashida"/>
        <w:rPr>
          <w:rtl/>
          <w:lang w:bidi="fa-IR"/>
        </w:rPr>
      </w:pPr>
      <w:r w:rsidRPr="00B47843">
        <w:rPr>
          <w:rFonts w:hint="cs"/>
          <w:rtl/>
          <w:lang w:bidi="fa-IR"/>
        </w:rPr>
        <w:t>در فرض فقدان یک معاهده بین</w:t>
      </w:r>
      <w:r w:rsidR="002F2C8E">
        <w:rPr>
          <w:rFonts w:hint="cs"/>
          <w:rtl/>
          <w:lang w:bidi="fa-IR"/>
        </w:rPr>
        <w:t>‌</w:t>
      </w:r>
      <w:r w:rsidRPr="00B47843">
        <w:rPr>
          <w:rFonts w:hint="cs"/>
          <w:rtl/>
          <w:lang w:bidi="fa-IR"/>
        </w:rPr>
        <w:t>المللی قابل اعمال نسبت به رأی داوری خارجی در ایالات متحده، که موضوع اصلی بحث</w:t>
      </w:r>
      <w:r w:rsidR="002F2C8E">
        <w:rPr>
          <w:rFonts w:hint="cs"/>
          <w:rtl/>
          <w:lang w:bidi="fa-IR"/>
        </w:rPr>
        <w:t>‌</w:t>
      </w:r>
      <w:r w:rsidRPr="00B47843">
        <w:rPr>
          <w:rFonts w:hint="cs"/>
          <w:rtl/>
          <w:lang w:bidi="fa-IR"/>
        </w:rPr>
        <w:t>های این مبحث است، در هر مورد باید به قانون ایالت محل درخواست اجرای رأی مراجعه کرد. در مجموع می</w:t>
      </w:r>
      <w:r w:rsidR="002F2C8E">
        <w:rPr>
          <w:rFonts w:hint="cs"/>
          <w:rtl/>
          <w:lang w:bidi="fa-IR"/>
        </w:rPr>
        <w:t>‌</w:t>
      </w:r>
      <w:r w:rsidRPr="00B47843">
        <w:rPr>
          <w:rFonts w:hint="cs"/>
          <w:rtl/>
          <w:lang w:bidi="fa-IR"/>
        </w:rPr>
        <w:t xml:space="preserve">توان گفت که معیار اصلی تعیین تابعیت رأی مطابق حقوق ایالات مختلف همان معیار محل صدور است. در مورد آیین اجرای آرای داوری خارجی نیز نوعاً قوانین داوری ایالات </w:t>
      </w:r>
      <w:r w:rsidRPr="00B47843">
        <w:rPr>
          <w:rFonts w:ascii="Times New Roman" w:hAnsi="Times New Roman" w:cs="Times New Roman" w:hint="cs"/>
          <w:rtl/>
          <w:lang w:bidi="fa-IR"/>
        </w:rPr>
        <w:t>–</w:t>
      </w:r>
      <w:r w:rsidRPr="00B47843">
        <w:rPr>
          <w:rFonts w:hint="cs"/>
          <w:rtl/>
          <w:lang w:bidi="fa-IR"/>
        </w:rPr>
        <w:t>اگرچه علی</w:t>
      </w:r>
      <w:r w:rsidR="002F2C8E">
        <w:rPr>
          <w:rFonts w:hint="cs"/>
          <w:rtl/>
          <w:lang w:bidi="fa-IR"/>
        </w:rPr>
        <w:t>‌</w:t>
      </w:r>
      <w:r w:rsidR="003310EB" w:rsidRPr="00B47843">
        <w:rPr>
          <w:rFonts w:hint="cs"/>
          <w:rtl/>
          <w:lang w:bidi="fa-IR"/>
        </w:rPr>
        <w:t>الاصول ناظر به داوری داخلی و آرای صادره به موجب آن است- در مورد آرای داوری خارجی نیز قابل اعمال است. با این وصف، دلیل عدم وجود وحدت رویه و حتی طرد صریح این روش در برخی ایالات، دو شیوه دیگر نیز در مجموع، جهت اجرای آرای داوری خارجی مطابق حقوق داخلی (با است</w:t>
      </w:r>
      <w:r w:rsidR="00A107BC" w:rsidRPr="00B47843">
        <w:rPr>
          <w:rFonts w:hint="cs"/>
          <w:rtl/>
          <w:lang w:bidi="fa-IR"/>
        </w:rPr>
        <w:t>قراء در حقوق ایالات)، دیده می</w:t>
      </w:r>
      <w:r w:rsidR="002F2C8E">
        <w:rPr>
          <w:rFonts w:hint="cs"/>
          <w:rtl/>
          <w:lang w:bidi="fa-IR"/>
        </w:rPr>
        <w:t>‌</w:t>
      </w:r>
      <w:r w:rsidR="00521D85">
        <w:rPr>
          <w:rFonts w:hint="cs"/>
          <w:rtl/>
          <w:lang w:bidi="fa-IR"/>
        </w:rPr>
        <w:t>شود.</w:t>
      </w:r>
    </w:p>
    <w:p w:rsidR="00A107BC" w:rsidRPr="00521D85" w:rsidRDefault="00A107BC" w:rsidP="004C2DA3">
      <w:pPr>
        <w:bidi/>
        <w:ind w:firstLine="360"/>
        <w:jc w:val="mediumKashida"/>
        <w:rPr>
          <w:lang w:bidi="fa-IR"/>
        </w:rPr>
      </w:pPr>
      <w:r w:rsidRPr="00521D85">
        <w:rPr>
          <w:rFonts w:hint="cs"/>
          <w:rtl/>
          <w:lang w:bidi="fa-IR"/>
        </w:rPr>
        <w:t>بعضی ایالات که می</w:t>
      </w:r>
      <w:r w:rsidR="002F2C8E" w:rsidRPr="00521D85">
        <w:rPr>
          <w:rFonts w:hint="cs"/>
          <w:rtl/>
          <w:lang w:bidi="fa-IR"/>
        </w:rPr>
        <w:t>‌</w:t>
      </w:r>
      <w:r w:rsidRPr="00521D85">
        <w:rPr>
          <w:rFonts w:hint="cs"/>
          <w:rtl/>
          <w:lang w:bidi="fa-IR"/>
        </w:rPr>
        <w:t>توان گفت بسیار نادر هستند مانند ایالت جورجیا، تبدیل رأی داوری خارجی به حکم دادگاه کشور محل صدور (اخذ دستور اجرا در کشور محل صدور) ضروری است. زیرا مطابق تفکر حقوقی موجود در این ایالات، قوانین داوری ایالتی منحصراً ناظر به آرای داوری داخلی می</w:t>
      </w:r>
      <w:r w:rsidR="002F2C8E" w:rsidRPr="00521D85">
        <w:rPr>
          <w:rFonts w:hint="cs"/>
          <w:rtl/>
          <w:lang w:bidi="fa-IR"/>
        </w:rPr>
        <w:t>‌</w:t>
      </w:r>
      <w:r w:rsidRPr="00521D85">
        <w:rPr>
          <w:rFonts w:hint="cs"/>
          <w:rtl/>
          <w:lang w:bidi="fa-IR"/>
        </w:rPr>
        <w:t xml:space="preserve">باشند. بنابراین، آرای داوری خارجی تنها در صورت تبدیل به حکم دادگاه در کشور محل صدور، قابل اجرا خواهند بود. البته باید متذکر شد که در غالب ایالات، تبدیل رأی داوری خارجی به حکم دادگاه محل صدور، جهت اجرای آن لازم نیست. ولی بر خلاف نظر برخی نویسندگان، در صورت وقوع این تبدیل و صدور دستور اجرا از سوی دادگاه محل </w:t>
      </w:r>
      <w:r w:rsidRPr="00521D85">
        <w:rPr>
          <w:rFonts w:hint="cs"/>
          <w:rtl/>
          <w:lang w:bidi="fa-IR"/>
        </w:rPr>
        <w:lastRenderedPageBreak/>
        <w:t>صدور رأی، رویه قضایی امریکا به این سمت و سو گرایش دارد که نتیجه حاصله را نه به عنوان رأی داوری خارجی بلکه به عنوان حکم دادگاه خارجی به اجرا بگذارد.</w:t>
      </w:r>
    </w:p>
    <w:p w:rsidR="00F00A09" w:rsidRPr="00521D85" w:rsidRDefault="00EF3194" w:rsidP="004C2DA3">
      <w:pPr>
        <w:bidi/>
        <w:ind w:firstLine="360"/>
        <w:jc w:val="mediumKashida"/>
        <w:rPr>
          <w:lang w:bidi="fa-IR"/>
        </w:rPr>
      </w:pPr>
      <w:r w:rsidRPr="00521D85">
        <w:rPr>
          <w:rFonts w:hint="cs"/>
          <w:rtl/>
          <w:lang w:bidi="fa-IR"/>
        </w:rPr>
        <w:t>همانند حقوق انگلستان، ذی</w:t>
      </w:r>
      <w:r w:rsidR="002F2C8E" w:rsidRPr="00521D85">
        <w:rPr>
          <w:rFonts w:hint="cs"/>
          <w:rtl/>
          <w:lang w:bidi="fa-IR"/>
        </w:rPr>
        <w:t>‌</w:t>
      </w:r>
      <w:r w:rsidRPr="00521D85">
        <w:rPr>
          <w:rFonts w:hint="cs"/>
          <w:rtl/>
          <w:lang w:bidi="fa-IR"/>
        </w:rPr>
        <w:t>نفع رأی داوری خارجی می</w:t>
      </w:r>
      <w:r w:rsidR="002F2C8E" w:rsidRPr="00521D85">
        <w:rPr>
          <w:rFonts w:hint="cs"/>
          <w:rtl/>
          <w:lang w:bidi="fa-IR"/>
        </w:rPr>
        <w:t>‌</w:t>
      </w:r>
      <w:r w:rsidRPr="00521D85">
        <w:rPr>
          <w:rFonts w:hint="cs"/>
          <w:rtl/>
          <w:lang w:bidi="fa-IR"/>
        </w:rPr>
        <w:t>تواند آن</w:t>
      </w:r>
      <w:r w:rsidR="002F2C8E" w:rsidRPr="00521D85">
        <w:rPr>
          <w:rFonts w:hint="cs"/>
          <w:rtl/>
          <w:lang w:bidi="fa-IR"/>
        </w:rPr>
        <w:t>‌</w:t>
      </w:r>
      <w:r w:rsidRPr="00521D85">
        <w:rPr>
          <w:rFonts w:hint="cs"/>
          <w:rtl/>
          <w:lang w:bidi="fa-IR"/>
        </w:rPr>
        <w:t xml:space="preserve">گونه که در مورد آرای داوری داخلی مرسوم است، </w:t>
      </w:r>
      <w:r w:rsidR="00A94E7E" w:rsidRPr="00521D85">
        <w:rPr>
          <w:rFonts w:hint="cs"/>
          <w:rtl/>
          <w:lang w:bidi="fa-IR"/>
        </w:rPr>
        <w:t>با استفاده از مقررات عمومی کامن‌</w:t>
      </w:r>
      <w:r w:rsidRPr="00521D85">
        <w:rPr>
          <w:rFonts w:hint="cs"/>
          <w:rtl/>
          <w:lang w:bidi="fa-IR"/>
        </w:rPr>
        <w:t>لا، از طریق طرح دعوی بر اساس رأی صادره و قرارداد داوری اقدام به اجرای آن بنماید. اجرای رأی ب</w:t>
      </w:r>
      <w:r w:rsidR="002F2C8E" w:rsidRPr="00521D85">
        <w:rPr>
          <w:rFonts w:hint="cs"/>
          <w:rtl/>
          <w:lang w:bidi="fa-IR"/>
        </w:rPr>
        <w:t>دین صورت در کامن‌</w:t>
      </w:r>
      <w:r w:rsidRPr="00521D85">
        <w:rPr>
          <w:rFonts w:hint="cs"/>
          <w:rtl/>
          <w:lang w:bidi="fa-IR"/>
        </w:rPr>
        <w:t>لا مبتنی بر این فرض است که قرارداد ارجاع اختلاف به داوری نیز همانند سایر قراردادهای خصوصی است و لذا، اجرای آن تابع همان تشریفات و شرایط مربوط به اجرای قرارداها و از جم</w:t>
      </w:r>
      <w:r w:rsidR="00F00A09" w:rsidRPr="00521D85">
        <w:rPr>
          <w:rFonts w:hint="cs"/>
          <w:rtl/>
          <w:lang w:bidi="fa-IR"/>
        </w:rPr>
        <w:t>له مربوط به نقض آنها خواهد بود.</w:t>
      </w:r>
    </w:p>
    <w:p w:rsidR="00EF3194" w:rsidRPr="00B47843" w:rsidRDefault="00EF3194" w:rsidP="004C2DA3">
      <w:pPr>
        <w:tabs>
          <w:tab w:val="right" w:pos="7920"/>
        </w:tabs>
        <w:bidi/>
        <w:ind w:firstLine="360"/>
        <w:jc w:val="mediumKashida"/>
        <w:rPr>
          <w:lang w:bidi="fa-IR"/>
        </w:rPr>
      </w:pPr>
      <w:r w:rsidRPr="00B47843">
        <w:rPr>
          <w:rFonts w:hint="cs"/>
          <w:rtl/>
          <w:lang w:bidi="fa-IR"/>
        </w:rPr>
        <w:t>در پایان بحث از حقوق ایلات متحده امریکا، دیدگاه جمعی از علمای حقوق این کشور که در قسمتی از بخش 354 مجموعه مقررات مربوط به تعارض قوانین منعکس گردیده است و تصویری اجمالی از موضع حقوقی کلیه ایالات در زمینه اجرای آرای داوری به دست می</w:t>
      </w:r>
      <w:r w:rsidR="002F2C8E">
        <w:rPr>
          <w:rFonts w:hint="cs"/>
          <w:rtl/>
          <w:lang w:bidi="fa-IR"/>
        </w:rPr>
        <w:t>‌</w:t>
      </w:r>
      <w:r w:rsidRPr="00B47843">
        <w:rPr>
          <w:rFonts w:hint="cs"/>
          <w:rtl/>
          <w:lang w:bidi="fa-IR"/>
        </w:rPr>
        <w:t>دهد، نقل می</w:t>
      </w:r>
      <w:r w:rsidR="002F2C8E">
        <w:rPr>
          <w:rFonts w:hint="cs"/>
          <w:rtl/>
          <w:lang w:bidi="fa-IR"/>
        </w:rPr>
        <w:t>‌</w:t>
      </w:r>
      <w:r w:rsidRPr="00B47843">
        <w:rPr>
          <w:rFonts w:hint="cs"/>
          <w:rtl/>
          <w:lang w:bidi="fa-IR"/>
        </w:rPr>
        <w:t>گردد. به موجب مقرره مذکور:</w:t>
      </w:r>
    </w:p>
    <w:p w:rsidR="00EF3194" w:rsidRPr="00B47843" w:rsidRDefault="00F00A09" w:rsidP="004C2DA3">
      <w:pPr>
        <w:pStyle w:val="ListParagraph"/>
        <w:tabs>
          <w:tab w:val="right" w:pos="7920"/>
        </w:tabs>
        <w:bidi/>
        <w:ind w:left="0" w:firstLine="360"/>
        <w:jc w:val="mediumKashida"/>
        <w:rPr>
          <w:rtl/>
          <w:lang w:bidi="fa-IR"/>
        </w:rPr>
      </w:pPr>
      <w:r w:rsidRPr="00B47843">
        <w:rPr>
          <w:rFonts w:hint="cs"/>
          <w:rtl/>
          <w:lang w:bidi="fa-IR"/>
        </w:rPr>
        <w:t>«رأی داوری خارجی در ایالات مختلف اجرا می</w:t>
      </w:r>
      <w:r w:rsidR="002F2C8E">
        <w:rPr>
          <w:rFonts w:hint="cs"/>
          <w:rtl/>
          <w:lang w:bidi="fa-IR"/>
        </w:rPr>
        <w:t>‌</w:t>
      </w:r>
      <w:r w:rsidRPr="00B47843">
        <w:rPr>
          <w:rFonts w:hint="cs"/>
          <w:rtl/>
          <w:lang w:bidi="fa-IR"/>
        </w:rPr>
        <w:t>شود مشروط بر اینکه:</w:t>
      </w:r>
    </w:p>
    <w:p w:rsidR="00F00A09" w:rsidRPr="00B47843" w:rsidRDefault="006F7D97" w:rsidP="004C2DA3">
      <w:pPr>
        <w:pStyle w:val="ListParagraph"/>
        <w:tabs>
          <w:tab w:val="right" w:pos="7920"/>
        </w:tabs>
        <w:bidi/>
        <w:ind w:left="0" w:firstLine="360"/>
        <w:jc w:val="mediumKashida"/>
        <w:rPr>
          <w:lang w:bidi="fa-IR"/>
        </w:rPr>
      </w:pPr>
      <w:r>
        <w:rPr>
          <w:rFonts w:hint="cs"/>
          <w:rtl/>
          <w:lang w:bidi="fa-IR"/>
        </w:rPr>
        <w:t xml:space="preserve">1- </w:t>
      </w:r>
      <w:r w:rsidR="00F00A09" w:rsidRPr="00B47843">
        <w:rPr>
          <w:rFonts w:hint="cs"/>
          <w:rtl/>
          <w:lang w:bidi="fa-IR"/>
        </w:rPr>
        <w:t>رأی داوری مزبور در کشور محل صدور معتبر بوده و با رعایت مقررات ارجاع امر به داوری صادر شده و دیوان داوری نیز نسبت به مدعی علیه واجد صلاحیت شخصی بوده و به وی در ظرف مدت معقولی شروع به رسیدگی ابلاغ شده باشد. همچنین، به نحو مقتضی به خوانده اجازه دفاع داده شده باشد.</w:t>
      </w:r>
    </w:p>
    <w:p w:rsidR="00F00A09" w:rsidRPr="00B47843" w:rsidRDefault="006F7D97" w:rsidP="004C2DA3">
      <w:pPr>
        <w:pStyle w:val="ListParagraph"/>
        <w:tabs>
          <w:tab w:val="right" w:pos="7920"/>
        </w:tabs>
        <w:bidi/>
        <w:ind w:left="0" w:firstLine="360"/>
        <w:jc w:val="mediumKashida"/>
        <w:rPr>
          <w:lang w:bidi="fa-IR"/>
        </w:rPr>
      </w:pPr>
      <w:r>
        <w:rPr>
          <w:rFonts w:hint="cs"/>
          <w:rtl/>
          <w:lang w:bidi="fa-IR"/>
        </w:rPr>
        <w:t xml:space="preserve">2- </w:t>
      </w:r>
      <w:r w:rsidR="00F00A09" w:rsidRPr="00B47843">
        <w:rPr>
          <w:rFonts w:hint="cs"/>
          <w:rtl/>
          <w:lang w:bidi="fa-IR"/>
        </w:rPr>
        <w:t xml:space="preserve">دادگاه اجرا کننده رأی یا نسبت به خوانده واجد صلاحیت بوده و یا نسبت به محل وقوع اموال خوانده، نسبت به وی احراز صلاحیت نموده باشد. به علاوه </w:t>
      </w:r>
      <w:r w:rsidR="00F00A09" w:rsidRPr="00B47843">
        <w:rPr>
          <w:rFonts w:hint="cs"/>
          <w:rtl/>
          <w:lang w:bidi="fa-IR"/>
        </w:rPr>
        <w:lastRenderedPageBreak/>
        <w:t>دعوایی که مستند رأی داوری است نباید مخالفت آشکار با نظم عمومی دادگاه اجرا کننده داشته باشد.»</w:t>
      </w:r>
      <w:r w:rsidR="00F00A09" w:rsidRPr="00B47843">
        <w:rPr>
          <w:rStyle w:val="FootnoteReference"/>
          <w:rtl/>
          <w:lang w:bidi="fa-IR"/>
        </w:rPr>
        <w:footnoteReference w:id="40"/>
      </w:r>
    </w:p>
    <w:p w:rsidR="00E56CF4" w:rsidRPr="00B47843" w:rsidRDefault="00F00A09" w:rsidP="0097095B">
      <w:pPr>
        <w:tabs>
          <w:tab w:val="right" w:pos="7920"/>
        </w:tabs>
        <w:bidi/>
        <w:ind w:firstLine="360"/>
        <w:jc w:val="mediumKashida"/>
        <w:rPr>
          <w:rtl/>
          <w:lang w:bidi="fa-IR"/>
        </w:rPr>
      </w:pPr>
      <w:r w:rsidRPr="00B47843">
        <w:rPr>
          <w:rFonts w:hint="cs"/>
          <w:rtl/>
          <w:lang w:bidi="fa-IR"/>
        </w:rPr>
        <w:t>مطابق تفاسیر موجود از این مقرره، گرچه دادگاه اجرا کننده، رأیی را که فاقد برخی شرایط اساسی است، اجرا نخواهد کرد ولی علی</w:t>
      </w:r>
      <w:r w:rsidR="00A94E7E">
        <w:rPr>
          <w:rFonts w:hint="cs"/>
          <w:rtl/>
          <w:lang w:bidi="fa-IR"/>
        </w:rPr>
        <w:t>‌</w:t>
      </w:r>
      <w:r w:rsidRPr="00B47843">
        <w:rPr>
          <w:rFonts w:hint="cs"/>
          <w:rtl/>
          <w:lang w:bidi="fa-IR"/>
        </w:rPr>
        <w:t>الاصول، وارد ماهیت رأی داوری خارجی که به حکم دادگاه مبدل نشده است، نمی</w:t>
      </w:r>
      <w:r w:rsidR="001A6BD8">
        <w:rPr>
          <w:rFonts w:hint="cs"/>
          <w:rtl/>
          <w:lang w:bidi="fa-IR"/>
        </w:rPr>
        <w:t>‌</w:t>
      </w:r>
      <w:r w:rsidRPr="00B47843">
        <w:rPr>
          <w:rFonts w:hint="cs"/>
          <w:rtl/>
          <w:lang w:bidi="fa-IR"/>
        </w:rPr>
        <w:t>شود.</w:t>
      </w:r>
      <w:r w:rsidRPr="00B47843">
        <w:rPr>
          <w:rStyle w:val="FootnoteReference"/>
          <w:rtl/>
          <w:lang w:bidi="fa-IR"/>
        </w:rPr>
        <w:footnoteReference w:id="41"/>
      </w:r>
    </w:p>
    <w:p w:rsidR="00142678" w:rsidRDefault="00521D85" w:rsidP="00C34789">
      <w:pPr>
        <w:pStyle w:val="Heading4"/>
      </w:pPr>
      <w:r>
        <w:rPr>
          <w:rFonts w:hint="cs"/>
          <w:rtl/>
        </w:rPr>
        <w:t>2-1-4</w:t>
      </w:r>
      <w:r w:rsidR="0076652F" w:rsidRPr="00521D85">
        <w:rPr>
          <w:rFonts w:hint="cs"/>
          <w:rtl/>
        </w:rPr>
        <w:t xml:space="preserve">) </w:t>
      </w:r>
      <w:r w:rsidR="00E56CF4" w:rsidRPr="00521D85">
        <w:rPr>
          <w:rFonts w:hint="cs"/>
          <w:rtl/>
        </w:rPr>
        <w:t>اجرای آرای داوری در ایران</w:t>
      </w:r>
    </w:p>
    <w:p w:rsidR="00A54E05" w:rsidRPr="00A54E05" w:rsidRDefault="00A54E05" w:rsidP="00A54E05">
      <w:pPr>
        <w:rPr>
          <w:rtl/>
          <w:lang w:bidi="fa-IR"/>
        </w:rPr>
      </w:pPr>
    </w:p>
    <w:p w:rsidR="00142678" w:rsidRPr="00B47843" w:rsidRDefault="008765EC" w:rsidP="004C2DA3">
      <w:pPr>
        <w:tabs>
          <w:tab w:val="right" w:pos="7920"/>
        </w:tabs>
        <w:bidi/>
        <w:spacing w:before="240"/>
        <w:ind w:firstLine="360"/>
        <w:jc w:val="mediumKashida"/>
        <w:rPr>
          <w:rtl/>
          <w:lang w:bidi="fa-IR"/>
        </w:rPr>
      </w:pPr>
      <w:r w:rsidRPr="00B47843">
        <w:rPr>
          <w:rFonts w:hint="cs"/>
          <w:rtl/>
          <w:lang w:bidi="fa-IR"/>
        </w:rPr>
        <w:t>در حقوق ایران، صرف نظر از معاهدات دو جانبه در زمینه اجرای احکام داوری تجاری بین</w:t>
      </w:r>
      <w:r w:rsidR="00A94E7E">
        <w:rPr>
          <w:rFonts w:hint="cs"/>
          <w:rtl/>
          <w:lang w:bidi="fa-IR"/>
        </w:rPr>
        <w:t>‌</w:t>
      </w:r>
      <w:r w:rsidRPr="00B47843">
        <w:rPr>
          <w:rFonts w:hint="cs"/>
          <w:rtl/>
          <w:lang w:bidi="fa-IR"/>
        </w:rPr>
        <w:t>المللی، رژیم اجرایی احکام این نوع داوری</w:t>
      </w:r>
      <w:r w:rsidR="00A94E7E">
        <w:rPr>
          <w:rFonts w:hint="cs"/>
          <w:rtl/>
          <w:lang w:bidi="fa-IR"/>
        </w:rPr>
        <w:t>‌</w:t>
      </w:r>
      <w:r w:rsidRPr="00B47843">
        <w:rPr>
          <w:rFonts w:hint="cs"/>
          <w:rtl/>
          <w:lang w:bidi="fa-IR"/>
        </w:rPr>
        <w:t>ها بر اساس کنوانسیون نیویورک و قانون داوری تجاری بین</w:t>
      </w:r>
      <w:r w:rsidR="00A94E7E">
        <w:rPr>
          <w:rFonts w:hint="cs"/>
          <w:rtl/>
          <w:lang w:bidi="fa-IR"/>
        </w:rPr>
        <w:t>‌</w:t>
      </w:r>
      <w:r w:rsidRPr="00B47843">
        <w:rPr>
          <w:rFonts w:hint="cs"/>
          <w:rtl/>
          <w:lang w:bidi="fa-IR"/>
        </w:rPr>
        <w:t>المللی ایران استوار است. بدین منظور، با توجه به گفته</w:t>
      </w:r>
      <w:r w:rsidR="00A94E7E">
        <w:rPr>
          <w:rFonts w:hint="cs"/>
          <w:rtl/>
          <w:lang w:bidi="fa-IR"/>
        </w:rPr>
        <w:t>‌</w:t>
      </w:r>
      <w:r w:rsidRPr="00B47843">
        <w:rPr>
          <w:rFonts w:hint="cs"/>
          <w:rtl/>
          <w:lang w:bidi="fa-IR"/>
        </w:rPr>
        <w:t>های پیشین در مورد کنوانسیون نیویورک، در این قسمت صرفاً به قانون اجرای احکام داوری تجاری بین</w:t>
      </w:r>
      <w:r w:rsidR="00A94E7E">
        <w:rPr>
          <w:rFonts w:hint="cs"/>
          <w:rtl/>
          <w:lang w:bidi="fa-IR"/>
        </w:rPr>
        <w:t>‌</w:t>
      </w:r>
      <w:r w:rsidRPr="00B47843">
        <w:rPr>
          <w:rFonts w:hint="cs"/>
          <w:rtl/>
          <w:lang w:bidi="fa-IR"/>
        </w:rPr>
        <w:t>المللی ایران پرداخته می</w:t>
      </w:r>
      <w:r w:rsidR="00A94E7E">
        <w:rPr>
          <w:rFonts w:hint="cs"/>
          <w:rtl/>
          <w:lang w:bidi="fa-IR"/>
        </w:rPr>
        <w:t>‌</w:t>
      </w:r>
      <w:r w:rsidRPr="00B47843">
        <w:rPr>
          <w:rFonts w:hint="cs"/>
          <w:rtl/>
          <w:lang w:bidi="fa-IR"/>
        </w:rPr>
        <w:t>شود:</w:t>
      </w:r>
    </w:p>
    <w:p w:rsidR="008765EC" w:rsidRPr="00B47843" w:rsidRDefault="005E424F" w:rsidP="004C2DA3">
      <w:pPr>
        <w:bidi/>
        <w:spacing w:before="240"/>
        <w:ind w:firstLine="360"/>
        <w:jc w:val="mediumKashida"/>
        <w:rPr>
          <w:rtl/>
          <w:lang w:bidi="fa-IR"/>
        </w:rPr>
      </w:pPr>
      <w:r w:rsidRPr="00B47843">
        <w:rPr>
          <w:rFonts w:hint="cs"/>
          <w:rtl/>
          <w:lang w:bidi="fa-IR"/>
        </w:rPr>
        <w:t>قانون داوری تجاری بین</w:t>
      </w:r>
      <w:r w:rsidR="00A94E7E">
        <w:rPr>
          <w:rFonts w:hint="cs"/>
          <w:rtl/>
          <w:lang w:bidi="fa-IR"/>
        </w:rPr>
        <w:t>‌</w:t>
      </w:r>
      <w:r w:rsidRPr="00B47843">
        <w:rPr>
          <w:rFonts w:hint="cs"/>
          <w:rtl/>
          <w:lang w:bidi="fa-IR"/>
        </w:rPr>
        <w:t>المللی مصوب 1376 تحول مهمی در نظام داوری در حقوق ایران به وجود آورده است. قانون مذکور مقتبس از قانون نمونه داوری آنسیترال (1985) است که خود آن نیز بر اساس دکترین و رویه بین</w:t>
      </w:r>
      <w:r w:rsidR="00A94E7E">
        <w:rPr>
          <w:rFonts w:hint="cs"/>
          <w:rtl/>
          <w:lang w:bidi="fa-IR"/>
        </w:rPr>
        <w:t>‌</w:t>
      </w:r>
      <w:r w:rsidR="0025712D">
        <w:rPr>
          <w:rFonts w:hint="cs"/>
          <w:rtl/>
          <w:lang w:bidi="fa-IR"/>
        </w:rPr>
        <w:t>المللی تنظیم گردیده است.</w:t>
      </w:r>
      <w:r w:rsidRPr="00B47843">
        <w:rPr>
          <w:rFonts w:hint="cs"/>
          <w:rtl/>
          <w:lang w:bidi="fa-IR"/>
        </w:rPr>
        <w:t xml:space="preserve"> با تصویب قانون داوری تجاری بین</w:t>
      </w:r>
      <w:r w:rsidR="00A94E7E">
        <w:rPr>
          <w:rFonts w:hint="cs"/>
          <w:rtl/>
          <w:lang w:bidi="fa-IR"/>
        </w:rPr>
        <w:t>‌</w:t>
      </w:r>
      <w:r w:rsidRPr="00B47843">
        <w:rPr>
          <w:rFonts w:hint="cs"/>
          <w:rtl/>
          <w:lang w:bidi="fa-IR"/>
        </w:rPr>
        <w:t>المللی ایران، یک منبع حقوقی مهم و تعین کننده وارد نظام حقوقی ایران شد.</w:t>
      </w:r>
    </w:p>
    <w:p w:rsidR="00142678" w:rsidRPr="00B47843" w:rsidRDefault="00955FA4" w:rsidP="004C2DA3">
      <w:pPr>
        <w:bidi/>
        <w:ind w:firstLine="360"/>
        <w:jc w:val="mediumKashida"/>
        <w:rPr>
          <w:rtl/>
          <w:lang w:bidi="fa-IR"/>
        </w:rPr>
      </w:pPr>
      <w:r w:rsidRPr="00B47843">
        <w:rPr>
          <w:rFonts w:hint="cs"/>
          <w:rtl/>
          <w:lang w:bidi="fa-IR"/>
        </w:rPr>
        <w:lastRenderedPageBreak/>
        <w:t>در قانون مذکور مقررات مربوط به اجرای احکام داوری، در ذیل فصل هشتم آمده است.</w:t>
      </w:r>
    </w:p>
    <w:p w:rsidR="00323351" w:rsidRPr="00B47843" w:rsidRDefault="00955FA4" w:rsidP="004C2DA3">
      <w:pPr>
        <w:bidi/>
        <w:ind w:firstLine="360"/>
        <w:jc w:val="mediumKashida"/>
        <w:rPr>
          <w:rtl/>
          <w:lang w:bidi="fa-IR"/>
        </w:rPr>
      </w:pPr>
      <w:r w:rsidRPr="00B47843">
        <w:rPr>
          <w:rFonts w:hint="cs"/>
          <w:rtl/>
          <w:lang w:bidi="fa-IR"/>
        </w:rPr>
        <w:t>طبق ماده 35 قانون داوری تجاری بین</w:t>
      </w:r>
      <w:r w:rsidR="00A94E7E">
        <w:rPr>
          <w:rFonts w:hint="cs"/>
          <w:rtl/>
          <w:lang w:bidi="fa-IR"/>
        </w:rPr>
        <w:t>‌</w:t>
      </w:r>
      <w:r w:rsidRPr="00B47843">
        <w:rPr>
          <w:rFonts w:hint="cs"/>
          <w:rtl/>
          <w:lang w:bidi="fa-IR"/>
        </w:rPr>
        <w:t>المللی ایران</w:t>
      </w:r>
      <w:r w:rsidR="00323351" w:rsidRPr="00B47843">
        <w:rPr>
          <w:rFonts w:hint="cs"/>
          <w:rtl/>
          <w:lang w:bidi="fa-IR"/>
        </w:rPr>
        <w:t>:</w:t>
      </w:r>
    </w:p>
    <w:p w:rsidR="008E42B7" w:rsidRPr="00B47843" w:rsidRDefault="00E30205" w:rsidP="004C2DA3">
      <w:pPr>
        <w:bidi/>
        <w:ind w:firstLine="360"/>
        <w:jc w:val="mediumKashida"/>
        <w:rPr>
          <w:rtl/>
          <w:lang w:bidi="fa-IR"/>
        </w:rPr>
      </w:pPr>
      <w:r w:rsidRPr="00B47843">
        <w:rPr>
          <w:rFonts w:hint="cs"/>
          <w:rtl/>
          <w:lang w:bidi="fa-IR"/>
        </w:rPr>
        <w:t>«</w:t>
      </w:r>
      <w:r w:rsidR="008E42B7" w:rsidRPr="00B47843">
        <w:rPr>
          <w:rFonts w:hint="cs"/>
          <w:rtl/>
          <w:lang w:bidi="fa-IR"/>
        </w:rPr>
        <w:t xml:space="preserve">1- </w:t>
      </w:r>
      <w:r w:rsidRPr="00B47843">
        <w:rPr>
          <w:rFonts w:hint="cs"/>
          <w:rtl/>
          <w:lang w:bidi="fa-IR"/>
        </w:rPr>
        <w:t>به استثنای موارد مندرج در مواد (33)</w:t>
      </w:r>
      <w:r w:rsidR="00C94DF2" w:rsidRPr="00B47843">
        <w:rPr>
          <w:rStyle w:val="FootnoteReference"/>
          <w:rtl/>
          <w:lang w:bidi="fa-IR"/>
        </w:rPr>
        <w:footnoteReference w:id="42"/>
      </w:r>
      <w:r w:rsidRPr="00B47843">
        <w:rPr>
          <w:rFonts w:hint="cs"/>
          <w:rtl/>
          <w:lang w:bidi="fa-IR"/>
        </w:rPr>
        <w:t xml:space="preserve"> و (34)</w:t>
      </w:r>
      <w:r w:rsidR="00C94DF2" w:rsidRPr="00B47843">
        <w:rPr>
          <w:rStyle w:val="FootnoteReference"/>
          <w:rtl/>
          <w:lang w:bidi="fa-IR"/>
        </w:rPr>
        <w:footnoteReference w:id="43"/>
      </w:r>
      <w:r w:rsidRPr="00B47843">
        <w:rPr>
          <w:rFonts w:hint="cs"/>
          <w:rtl/>
          <w:lang w:bidi="fa-IR"/>
        </w:rPr>
        <w:t>، آرای داوری که مطابق این قانون صادر شود، قطعی و پس از ابلاغ لازم</w:t>
      </w:r>
      <w:r w:rsidRPr="00B47843">
        <w:rPr>
          <w:rtl/>
          <w:lang w:bidi="fa-IR"/>
        </w:rPr>
        <w:softHyphen/>
      </w:r>
      <w:r w:rsidRPr="00B47843">
        <w:rPr>
          <w:rFonts w:hint="cs"/>
          <w:rtl/>
          <w:lang w:bidi="fa-IR"/>
        </w:rPr>
        <w:t>الاجرا است و در صورت درخواست کتبی از دادگاه موضوع ماده (6) ترتیبات اجرای احکام دادگاه</w:t>
      </w:r>
      <w:r w:rsidR="00A94E7E">
        <w:rPr>
          <w:rFonts w:hint="cs"/>
          <w:rtl/>
          <w:lang w:bidi="fa-IR"/>
        </w:rPr>
        <w:t>‌</w:t>
      </w:r>
      <w:r w:rsidRPr="00B47843">
        <w:rPr>
          <w:rFonts w:hint="cs"/>
          <w:rtl/>
          <w:lang w:bidi="fa-IR"/>
        </w:rPr>
        <w:t>ها به مورد اجرا گذاشته می</w:t>
      </w:r>
      <w:r w:rsidR="00A94E7E">
        <w:rPr>
          <w:rFonts w:hint="cs"/>
          <w:rtl/>
          <w:lang w:bidi="fa-IR"/>
        </w:rPr>
        <w:t>‌</w:t>
      </w:r>
      <w:r w:rsidRPr="00B47843">
        <w:rPr>
          <w:rFonts w:hint="cs"/>
          <w:rtl/>
          <w:lang w:bidi="fa-IR"/>
        </w:rPr>
        <w:t>شوند ...</w:t>
      </w:r>
    </w:p>
    <w:p w:rsidR="00323351" w:rsidRPr="00B47843" w:rsidRDefault="008E42B7" w:rsidP="004C2DA3">
      <w:pPr>
        <w:bidi/>
        <w:ind w:firstLine="360"/>
        <w:jc w:val="mediumKashida"/>
        <w:rPr>
          <w:rtl/>
          <w:lang w:bidi="fa-IR"/>
        </w:rPr>
      </w:pPr>
      <w:r w:rsidRPr="00B47843">
        <w:rPr>
          <w:rFonts w:hint="cs"/>
          <w:rtl/>
          <w:lang w:bidi="fa-IR"/>
        </w:rPr>
        <w:t>2- در صورتی که یکی از طرفین از دادگاه موضوع ماده (6) این قانون درخواست ابطال رأی داوری را به عمل آورده باشد و طرف دیگر تقاضای شناسایی یا اجرای آن را کرده باشد، دادگاه می</w:t>
      </w:r>
      <w:r w:rsidR="00A94E7E">
        <w:rPr>
          <w:rFonts w:hint="cs"/>
          <w:rtl/>
          <w:lang w:bidi="fa-IR"/>
        </w:rPr>
        <w:t>‌</w:t>
      </w:r>
      <w:r w:rsidRPr="00B47843">
        <w:rPr>
          <w:rFonts w:hint="cs"/>
          <w:rtl/>
          <w:lang w:bidi="fa-IR"/>
        </w:rPr>
        <w:t>تواند در صورت درخواست متقاضی شناسایی یا اجرای رأی، مقرر دارد که درخواست کننده ابطال، تأمین مناسب بسپارد.</w:t>
      </w:r>
      <w:r w:rsidR="00E30205" w:rsidRPr="00B47843">
        <w:rPr>
          <w:rFonts w:hint="cs"/>
          <w:rtl/>
          <w:lang w:bidi="fa-IR"/>
        </w:rPr>
        <w:t>»</w:t>
      </w:r>
    </w:p>
    <w:p w:rsidR="00AB0A4B" w:rsidRPr="00B47843" w:rsidRDefault="00AB0A4B" w:rsidP="004C2DA3">
      <w:pPr>
        <w:bidi/>
        <w:ind w:firstLine="360"/>
        <w:jc w:val="mediumKashida"/>
        <w:rPr>
          <w:rtl/>
          <w:lang w:bidi="fa-IR"/>
        </w:rPr>
      </w:pPr>
      <w:r w:rsidRPr="00B47843">
        <w:rPr>
          <w:rFonts w:hint="cs"/>
          <w:rtl/>
          <w:lang w:bidi="fa-IR"/>
        </w:rPr>
        <w:t>مهمترین امتیاز داوری</w:t>
      </w:r>
      <w:r w:rsidR="00A94E7E">
        <w:rPr>
          <w:rFonts w:hint="cs"/>
          <w:rtl/>
          <w:lang w:bidi="fa-IR"/>
        </w:rPr>
        <w:t>‌</w:t>
      </w:r>
      <w:r w:rsidRPr="00B47843">
        <w:rPr>
          <w:rFonts w:hint="cs"/>
          <w:rtl/>
          <w:lang w:bidi="fa-IR"/>
        </w:rPr>
        <w:t>های بین</w:t>
      </w:r>
      <w:r w:rsidR="00A94E7E">
        <w:rPr>
          <w:rFonts w:hint="cs"/>
          <w:rtl/>
          <w:lang w:bidi="fa-IR"/>
        </w:rPr>
        <w:t>‌</w:t>
      </w:r>
      <w:r w:rsidRPr="00B47843">
        <w:rPr>
          <w:rFonts w:hint="cs"/>
          <w:rtl/>
          <w:lang w:bidi="fa-IR"/>
        </w:rPr>
        <w:t>المللی مشمول قانون مذکور از حیث اجرا در همین ماده 35 است که مقررات آن روشن است: اولاً، رأی صادره در داوری</w:t>
      </w:r>
      <w:r w:rsidR="00A94E7E">
        <w:rPr>
          <w:rFonts w:hint="cs"/>
          <w:rtl/>
          <w:lang w:bidi="fa-IR"/>
        </w:rPr>
        <w:t>‌</w:t>
      </w:r>
      <w:r w:rsidRPr="00B47843">
        <w:rPr>
          <w:rFonts w:hint="cs"/>
          <w:rtl/>
          <w:lang w:bidi="fa-IR"/>
        </w:rPr>
        <w:t>های بین</w:t>
      </w:r>
      <w:r w:rsidR="004A1BDA">
        <w:rPr>
          <w:rFonts w:hint="cs"/>
          <w:rtl/>
          <w:lang w:bidi="fa-IR"/>
        </w:rPr>
        <w:t>‌</w:t>
      </w:r>
      <w:r w:rsidRPr="00B47843">
        <w:rPr>
          <w:rFonts w:hint="cs"/>
          <w:rtl/>
          <w:lang w:bidi="fa-IR"/>
        </w:rPr>
        <w:t>المللی، همانند رأی صادره در دادگاه</w:t>
      </w:r>
      <w:r w:rsidR="004A1BDA">
        <w:rPr>
          <w:rFonts w:hint="cs"/>
          <w:rtl/>
          <w:lang w:bidi="fa-IR"/>
        </w:rPr>
        <w:t>‌</w:t>
      </w:r>
      <w:r w:rsidRPr="00B47843">
        <w:rPr>
          <w:rFonts w:hint="cs"/>
          <w:rtl/>
          <w:lang w:bidi="fa-IR"/>
        </w:rPr>
        <w:t>های داخلی اجرا می</w:t>
      </w:r>
      <w:r w:rsidR="004A1BDA">
        <w:rPr>
          <w:rFonts w:hint="cs"/>
          <w:rtl/>
          <w:lang w:bidi="fa-IR"/>
        </w:rPr>
        <w:t>‌</w:t>
      </w:r>
      <w:r w:rsidRPr="00B47843">
        <w:rPr>
          <w:rFonts w:hint="cs"/>
          <w:rtl/>
          <w:lang w:bidi="fa-IR"/>
        </w:rPr>
        <w:t>شود و قطعی و لازم</w:t>
      </w:r>
      <w:r w:rsidRPr="00B47843">
        <w:rPr>
          <w:rtl/>
          <w:lang w:bidi="fa-IR"/>
        </w:rPr>
        <w:softHyphen/>
      </w:r>
      <w:r w:rsidRPr="00B47843">
        <w:rPr>
          <w:rFonts w:hint="cs"/>
          <w:rtl/>
          <w:lang w:bidi="fa-IR"/>
        </w:rPr>
        <w:t>الاجرا است. ثانیاً در مواردی که درخواست ابطال رأی مطرح شده، دادگاه می</w:t>
      </w:r>
      <w:r w:rsidR="004A1BDA">
        <w:rPr>
          <w:rFonts w:hint="cs"/>
          <w:rtl/>
          <w:lang w:bidi="fa-IR"/>
        </w:rPr>
        <w:t>‌</w:t>
      </w:r>
      <w:r w:rsidRPr="00B47843">
        <w:rPr>
          <w:rFonts w:hint="cs"/>
          <w:rtl/>
          <w:lang w:bidi="fa-IR"/>
        </w:rPr>
        <w:t>تواند از طرف متقاضی ابطال، تأمین مناسب بگیر تا از درخواست</w:t>
      </w:r>
      <w:r w:rsidR="004A1BDA">
        <w:rPr>
          <w:rFonts w:hint="cs"/>
          <w:rtl/>
          <w:lang w:bidi="fa-IR"/>
        </w:rPr>
        <w:t>‌</w:t>
      </w:r>
      <w:r w:rsidRPr="00B47843">
        <w:rPr>
          <w:rFonts w:hint="cs"/>
          <w:rtl/>
          <w:lang w:bidi="fa-IR"/>
        </w:rPr>
        <w:t>های بی</w:t>
      </w:r>
      <w:r w:rsidR="004A1BDA">
        <w:rPr>
          <w:rFonts w:hint="cs"/>
          <w:rtl/>
          <w:lang w:bidi="fa-IR"/>
        </w:rPr>
        <w:t>‌</w:t>
      </w:r>
      <w:r w:rsidRPr="00B47843">
        <w:rPr>
          <w:rFonts w:hint="cs"/>
          <w:rtl/>
          <w:lang w:bidi="fa-IR"/>
        </w:rPr>
        <w:t>مورد و واهی که باعث تأخیر در اجرای رأی می</w:t>
      </w:r>
      <w:r w:rsidR="004A1BDA">
        <w:rPr>
          <w:rFonts w:hint="cs"/>
          <w:rtl/>
          <w:lang w:bidi="fa-IR"/>
        </w:rPr>
        <w:t>‌</w:t>
      </w:r>
      <w:r w:rsidRPr="00B47843">
        <w:rPr>
          <w:rFonts w:hint="cs"/>
          <w:rtl/>
          <w:lang w:bidi="fa-IR"/>
        </w:rPr>
        <w:t>گردد، جلوگیری شود.</w:t>
      </w:r>
      <w:r w:rsidRPr="00B47843">
        <w:rPr>
          <w:rStyle w:val="FootnoteReference"/>
          <w:rtl/>
          <w:lang w:bidi="fa-IR"/>
        </w:rPr>
        <w:footnoteReference w:id="44"/>
      </w:r>
    </w:p>
    <w:p w:rsidR="00955FA4" w:rsidRPr="00B47843" w:rsidRDefault="00796F6F" w:rsidP="004C2DA3">
      <w:pPr>
        <w:bidi/>
        <w:ind w:firstLine="360"/>
        <w:jc w:val="mediumKashida"/>
        <w:rPr>
          <w:rtl/>
          <w:lang w:bidi="fa-IR"/>
        </w:rPr>
      </w:pPr>
      <w:r w:rsidRPr="00B47843">
        <w:rPr>
          <w:rFonts w:hint="cs"/>
          <w:rtl/>
          <w:lang w:bidi="fa-IR"/>
        </w:rPr>
        <w:t xml:space="preserve">همچنین </w:t>
      </w:r>
      <w:r w:rsidR="00955FA4" w:rsidRPr="00B47843">
        <w:rPr>
          <w:rFonts w:hint="cs"/>
          <w:rtl/>
          <w:lang w:bidi="fa-IR"/>
        </w:rPr>
        <w:t>ماده 6 قانون مزبور</w:t>
      </w:r>
      <w:r w:rsidRPr="00B47843">
        <w:rPr>
          <w:rFonts w:hint="cs"/>
          <w:rtl/>
          <w:lang w:bidi="fa-IR"/>
        </w:rPr>
        <w:t xml:space="preserve"> در رابطه با مرجع درخواست اجرا،</w:t>
      </w:r>
      <w:r w:rsidR="00955FA4" w:rsidRPr="00B47843">
        <w:rPr>
          <w:rFonts w:hint="cs"/>
          <w:rtl/>
          <w:lang w:bidi="fa-IR"/>
        </w:rPr>
        <w:t xml:space="preserve"> مقرر می</w:t>
      </w:r>
      <w:r w:rsidR="004A1BDA">
        <w:rPr>
          <w:rFonts w:hint="cs"/>
          <w:rtl/>
          <w:lang w:bidi="fa-IR"/>
        </w:rPr>
        <w:t>‌</w:t>
      </w:r>
      <w:r w:rsidR="00955FA4" w:rsidRPr="00B47843">
        <w:rPr>
          <w:rFonts w:hint="cs"/>
          <w:rtl/>
          <w:lang w:bidi="fa-IR"/>
        </w:rPr>
        <w:t>دارد:</w:t>
      </w:r>
    </w:p>
    <w:p w:rsidR="00955FA4" w:rsidRDefault="00955FA4" w:rsidP="004C2DA3">
      <w:pPr>
        <w:bidi/>
        <w:ind w:firstLine="360"/>
        <w:jc w:val="mediumKashida"/>
        <w:rPr>
          <w:rtl/>
          <w:lang w:bidi="fa-IR"/>
        </w:rPr>
      </w:pPr>
      <w:r w:rsidRPr="00B47843">
        <w:rPr>
          <w:rFonts w:hint="cs"/>
          <w:rtl/>
          <w:lang w:bidi="fa-IR"/>
        </w:rPr>
        <w:lastRenderedPageBreak/>
        <w:t>«انجام وظایف مندرج در ... و ماده (35) به عهده دادگاه عمومی واقع در مرکز استانی است که مقر داوری در آن قرار دارد و تا زمانی که مقر داوری مشخص نشده، به عهده دادگاه عمومی تهران است ...»</w:t>
      </w:r>
    </w:p>
    <w:p w:rsidR="00D314B9" w:rsidRDefault="00D314B9" w:rsidP="004C2DA3">
      <w:pPr>
        <w:bidi/>
        <w:ind w:firstLine="360"/>
        <w:jc w:val="mediumKashida"/>
        <w:rPr>
          <w:lang w:bidi="fa-IR"/>
        </w:rPr>
      </w:pPr>
    </w:p>
    <w:p w:rsidR="00907140" w:rsidRPr="00B47843" w:rsidRDefault="00907140" w:rsidP="00907140">
      <w:pPr>
        <w:bidi/>
        <w:ind w:firstLine="360"/>
        <w:jc w:val="mediumKashida"/>
        <w:rPr>
          <w:rtl/>
          <w:lang w:bidi="fa-IR"/>
        </w:rPr>
      </w:pPr>
    </w:p>
    <w:p w:rsidR="00796F6F" w:rsidRDefault="0086692B" w:rsidP="000A47F6">
      <w:pPr>
        <w:pStyle w:val="Heading3"/>
      </w:pPr>
      <w:bookmarkStart w:id="8" w:name="_Toc397212635"/>
      <w:r>
        <w:rPr>
          <w:rFonts w:hint="cs"/>
          <w:rtl/>
        </w:rPr>
        <w:t xml:space="preserve">2-2) </w:t>
      </w:r>
      <w:r w:rsidR="00796F6F" w:rsidRPr="00521D85">
        <w:rPr>
          <w:rFonts w:hint="cs"/>
          <w:rtl/>
        </w:rPr>
        <w:t>نظارت قضایی بر آرای داوری</w:t>
      </w:r>
      <w:bookmarkEnd w:id="8"/>
    </w:p>
    <w:p w:rsidR="00A54E05" w:rsidRPr="00A54E05" w:rsidRDefault="00A54E05" w:rsidP="00A54E05">
      <w:pPr>
        <w:rPr>
          <w:rtl/>
          <w:lang w:bidi="fa-IR"/>
        </w:rPr>
      </w:pPr>
    </w:p>
    <w:p w:rsidR="00796F6F" w:rsidRPr="00B47843" w:rsidRDefault="00417DB3" w:rsidP="002C488B">
      <w:pPr>
        <w:bidi/>
        <w:spacing w:before="240"/>
        <w:ind w:firstLine="360"/>
        <w:jc w:val="mediumKashida"/>
        <w:rPr>
          <w:rtl/>
          <w:lang w:bidi="fa-IR"/>
        </w:rPr>
      </w:pPr>
      <w:r w:rsidRPr="00B47843">
        <w:rPr>
          <w:rFonts w:hint="cs"/>
          <w:rtl/>
          <w:lang w:bidi="fa-IR"/>
        </w:rPr>
        <w:t>بررسی اسناد بین</w:t>
      </w:r>
      <w:r w:rsidR="001A6BD8">
        <w:rPr>
          <w:rFonts w:hint="cs"/>
          <w:rtl/>
          <w:lang w:bidi="fa-IR"/>
        </w:rPr>
        <w:t>‌</w:t>
      </w:r>
      <w:r w:rsidRPr="00B47843">
        <w:rPr>
          <w:rFonts w:hint="cs"/>
          <w:rtl/>
          <w:lang w:bidi="fa-IR"/>
        </w:rPr>
        <w:t>المللی موجود در زمینه شناسایی و اجرای آرای داوری خارجی و نیز مقررات نظام</w:t>
      </w:r>
      <w:r w:rsidR="001A6BD8">
        <w:rPr>
          <w:rFonts w:hint="cs"/>
          <w:rtl/>
          <w:lang w:bidi="fa-IR"/>
        </w:rPr>
        <w:t>‌</w:t>
      </w:r>
      <w:r w:rsidRPr="00B47843">
        <w:rPr>
          <w:rFonts w:hint="cs"/>
          <w:rtl/>
          <w:lang w:bidi="fa-IR"/>
        </w:rPr>
        <w:t>های حقوقی ملی، تقریباً بدون استثنا سه محور اول و غالباً چهار محور نقض حدود اختیارات قضایی، نقض اصول رسیدگی ترافعی، مخالفت با نظم عمومی و الزام</w:t>
      </w:r>
      <w:r w:rsidR="001A6BD8">
        <w:rPr>
          <w:rFonts w:hint="cs"/>
          <w:rtl/>
          <w:lang w:bidi="fa-IR"/>
        </w:rPr>
        <w:t>‌</w:t>
      </w:r>
      <w:r w:rsidRPr="00B47843">
        <w:rPr>
          <w:rFonts w:hint="cs"/>
          <w:rtl/>
          <w:lang w:bidi="fa-IR"/>
        </w:rPr>
        <w:t>آور نبودن، تعلیق یا ابطال رأی داوری را محورهای اصلی نظارت قضایی و جهات ردّ درخواست اجرای رأی دانسته</w:t>
      </w:r>
      <w:r w:rsidR="001A6BD8">
        <w:rPr>
          <w:rFonts w:hint="cs"/>
          <w:rtl/>
          <w:lang w:bidi="fa-IR"/>
        </w:rPr>
        <w:t>‌اند.</w:t>
      </w:r>
      <w:r w:rsidRPr="00B47843">
        <w:rPr>
          <w:rFonts w:hint="cs"/>
          <w:rtl/>
          <w:lang w:bidi="fa-IR"/>
        </w:rPr>
        <w:t xml:space="preserve"> این محورها در کنوانسیون نیویورک منعکس شده و بدین ترتیب به عنوان بخشی از نظام حقوقی اکثریت کشورهای جهان در آمده است. گرچه در فرض عدم قابلیت اعمال کنوانسیون اعم از اینکه به دلیل عدم الحاق کشوری به آن باشد یا به دلیل عدم شمول قلمرو کنوانسیون (مثلاً به واسطه استفاده از شرط رفتار متقابل یا ...)، باز در رژیم اجرایی آرای داوری خارجی موضوع نظام</w:t>
      </w:r>
      <w:r w:rsidRPr="00B47843">
        <w:rPr>
          <w:rtl/>
          <w:lang w:bidi="fa-IR"/>
        </w:rPr>
        <w:softHyphen/>
      </w:r>
      <w:r w:rsidRPr="00B47843">
        <w:rPr>
          <w:rFonts w:hint="cs"/>
          <w:rtl/>
          <w:lang w:bidi="fa-IR"/>
        </w:rPr>
        <w:t>های حقوقی داخلی، جهات مزبور به وضوح دیده می</w:t>
      </w:r>
      <w:r w:rsidR="007F5F08">
        <w:rPr>
          <w:rFonts w:hint="cs"/>
          <w:rtl/>
          <w:lang w:bidi="fa-IR"/>
        </w:rPr>
        <w:t>‌</w:t>
      </w:r>
      <w:r w:rsidRPr="00B47843">
        <w:rPr>
          <w:rFonts w:hint="cs"/>
          <w:rtl/>
          <w:lang w:bidi="fa-IR"/>
        </w:rPr>
        <w:t xml:space="preserve">شود. با این تفاوت </w:t>
      </w:r>
      <w:r w:rsidR="00151867" w:rsidRPr="00B47843">
        <w:rPr>
          <w:rFonts w:hint="cs"/>
          <w:rtl/>
          <w:lang w:bidi="fa-IR"/>
        </w:rPr>
        <w:t>که ممکن است اوصاف عمومی مذکور در رابطه با این جهات در کنوانسیون، در نظام</w:t>
      </w:r>
      <w:r w:rsidR="007F5F08">
        <w:rPr>
          <w:rFonts w:hint="cs"/>
          <w:rtl/>
          <w:lang w:bidi="fa-IR"/>
        </w:rPr>
        <w:t>‌</w:t>
      </w:r>
      <w:r w:rsidR="00151867" w:rsidRPr="00B47843">
        <w:rPr>
          <w:rFonts w:hint="cs"/>
          <w:rtl/>
          <w:lang w:bidi="fa-IR"/>
        </w:rPr>
        <w:t xml:space="preserve">های حقوقی ملی، مفقود باشد. به عنوان مثال، ممکن است جهات مزبور در خارج از چارچوب کنوانسیون حالت شرطیّت داشته باشد و نه مانعیّت، و به تبع، اثبات وجود این شروط بر خواهان باشد، نه بر خوانده؛ یا در چارچوب یک </w:t>
      </w:r>
      <w:r w:rsidR="00151867" w:rsidRPr="00B47843">
        <w:rPr>
          <w:rFonts w:hint="cs"/>
          <w:rtl/>
          <w:lang w:bidi="fa-IR"/>
        </w:rPr>
        <w:lastRenderedPageBreak/>
        <w:t>نظام حقوقی ملی جهات مذکور حصری نباشند؛ یا کاملاً اجباری باشند و به صلا</w:t>
      </w:r>
      <w:r w:rsidR="00BD7EF7">
        <w:rPr>
          <w:rFonts w:hint="cs"/>
          <w:rtl/>
          <w:lang w:bidi="fa-IR"/>
        </w:rPr>
        <w:t>حدید دادگاه واگذار نشده باشند و</w:t>
      </w:r>
      <w:r w:rsidR="00151867" w:rsidRPr="00B47843">
        <w:rPr>
          <w:rFonts w:hint="cs"/>
          <w:rtl/>
          <w:lang w:bidi="fa-IR"/>
        </w:rPr>
        <w:t>... .</w:t>
      </w:r>
      <w:r w:rsidR="00524DA6" w:rsidRPr="00B47843">
        <w:rPr>
          <w:rStyle w:val="FootnoteReference"/>
          <w:rtl/>
          <w:lang w:bidi="fa-IR"/>
        </w:rPr>
        <w:footnoteReference w:id="45"/>
      </w:r>
    </w:p>
    <w:p w:rsidR="00151867" w:rsidRPr="00B47843" w:rsidRDefault="00151867" w:rsidP="004C2DA3">
      <w:pPr>
        <w:bidi/>
        <w:spacing w:before="240"/>
        <w:ind w:firstLine="360"/>
        <w:jc w:val="mediumKashida"/>
        <w:rPr>
          <w:rtl/>
          <w:lang w:bidi="fa-IR"/>
        </w:rPr>
      </w:pPr>
      <w:r w:rsidRPr="00B47843">
        <w:rPr>
          <w:rFonts w:hint="cs"/>
          <w:rtl/>
          <w:lang w:bidi="fa-IR"/>
        </w:rPr>
        <w:t>به هرحال ملاحظه سه نکته در رابطه با جهات ردّ، مفید است:</w:t>
      </w:r>
    </w:p>
    <w:p w:rsidR="00524DA6" w:rsidRPr="00B47843" w:rsidRDefault="00054982" w:rsidP="004C2DA3">
      <w:pPr>
        <w:pStyle w:val="ListParagraph"/>
        <w:bidi/>
        <w:spacing w:before="240"/>
        <w:ind w:left="0" w:firstLine="360"/>
        <w:jc w:val="mediumKashida"/>
        <w:rPr>
          <w:lang w:bidi="fa-IR"/>
        </w:rPr>
      </w:pPr>
      <w:r>
        <w:rPr>
          <w:rFonts w:hint="cs"/>
          <w:rtl/>
          <w:lang w:bidi="fa-IR"/>
        </w:rPr>
        <w:t xml:space="preserve">1- </w:t>
      </w:r>
      <w:r w:rsidR="00663A79" w:rsidRPr="00B47843">
        <w:rPr>
          <w:rFonts w:hint="cs"/>
          <w:rtl/>
          <w:lang w:bidi="fa-IR"/>
        </w:rPr>
        <w:t xml:space="preserve">با اینکه همگان بر رعایت حدود اختیارات قضایی توسط داوران (یعنی با وجود یک قرارداد معتبر و احترام به قلمرو و چارچوب آن)، رعایت اصول رسیدگی ترافعی، (یعنی تأمین عدالت دادرسی با </w:t>
      </w:r>
      <w:r w:rsidR="00313B4A" w:rsidRPr="00B47843">
        <w:rPr>
          <w:rFonts w:hint="cs"/>
          <w:rtl/>
          <w:lang w:bidi="fa-IR"/>
        </w:rPr>
        <w:t>احترام به اصل بی</w:t>
      </w:r>
      <w:r w:rsidR="007F5F08">
        <w:rPr>
          <w:rFonts w:hint="cs"/>
          <w:rtl/>
          <w:lang w:bidi="fa-IR"/>
        </w:rPr>
        <w:t>‌</w:t>
      </w:r>
      <w:r w:rsidR="00313B4A" w:rsidRPr="00B47843">
        <w:rPr>
          <w:rFonts w:hint="cs"/>
          <w:rtl/>
          <w:lang w:bidi="fa-IR"/>
        </w:rPr>
        <w:t>طرفی، ابلاغ مناسب و حق دفاع) و رعایت اصول مربوط به نظم عمومی مقر دادگاه اجرا کننده رأی اتفاق نظر دارند، ولی</w:t>
      </w:r>
      <w:r w:rsidR="00525860" w:rsidRPr="00B47843">
        <w:rPr>
          <w:rFonts w:hint="cs"/>
          <w:rtl/>
          <w:lang w:bidi="fa-IR"/>
        </w:rPr>
        <w:t xml:space="preserve"> در مورد حدود دلالت این مفاهیم</w:t>
      </w:r>
      <w:r w:rsidR="00CB4A28" w:rsidRPr="00B47843">
        <w:rPr>
          <w:rFonts w:hint="cs"/>
          <w:rtl/>
          <w:lang w:bidi="fa-IR"/>
        </w:rPr>
        <w:t>، به ویژه در دهه اخیر تردیدهای زیادی به وجود آمده و برخی معتقدند که در تمام موارد فوق باید معیارهای بین</w:t>
      </w:r>
      <w:r w:rsidR="00D77921">
        <w:rPr>
          <w:rFonts w:hint="cs"/>
          <w:rtl/>
          <w:lang w:bidi="fa-IR"/>
        </w:rPr>
        <w:t>‌</w:t>
      </w:r>
      <w:r w:rsidR="00CB4A28" w:rsidRPr="00B47843">
        <w:rPr>
          <w:rFonts w:hint="cs"/>
          <w:rtl/>
          <w:lang w:bidi="fa-IR"/>
        </w:rPr>
        <w:t>المللی و نه معیارهای محلی و ملی</w:t>
      </w:r>
      <w:r w:rsidR="00571BB9" w:rsidRPr="00B47843">
        <w:rPr>
          <w:rFonts w:hint="cs"/>
          <w:rtl/>
          <w:lang w:bidi="fa-IR"/>
        </w:rPr>
        <w:t xml:space="preserve"> را ملاک عمل قرار داد. این دسته از نظریه</w:t>
      </w:r>
      <w:r w:rsidR="00D77921">
        <w:rPr>
          <w:rFonts w:hint="cs"/>
          <w:rtl/>
          <w:lang w:bidi="fa-IR"/>
        </w:rPr>
        <w:t>‌</w:t>
      </w:r>
      <w:r w:rsidR="00571BB9" w:rsidRPr="00B47843">
        <w:rPr>
          <w:rFonts w:hint="cs"/>
          <w:rtl/>
          <w:lang w:bidi="fa-IR"/>
        </w:rPr>
        <w:t>پردازان به همین دلیل ارجاع</w:t>
      </w:r>
      <w:r w:rsidR="00D77921">
        <w:rPr>
          <w:rFonts w:hint="cs"/>
          <w:rtl/>
          <w:lang w:bidi="fa-IR"/>
        </w:rPr>
        <w:t>‌</w:t>
      </w:r>
      <w:r w:rsidR="00571BB9" w:rsidRPr="00B47843">
        <w:rPr>
          <w:rFonts w:hint="cs"/>
          <w:rtl/>
          <w:lang w:bidi="fa-IR"/>
        </w:rPr>
        <w:t>های مکرر کنوانسیون نیویورک به نظام حقوقی ملی قابل اعمال را مورد انتقاد قرار داده</w:t>
      </w:r>
      <w:r w:rsidR="00D77921">
        <w:rPr>
          <w:rFonts w:hint="cs"/>
          <w:rtl/>
          <w:lang w:bidi="fa-IR"/>
        </w:rPr>
        <w:t>‌</w:t>
      </w:r>
      <w:r w:rsidR="00571BB9" w:rsidRPr="00B47843">
        <w:rPr>
          <w:rFonts w:hint="cs"/>
          <w:rtl/>
          <w:lang w:bidi="fa-IR"/>
        </w:rPr>
        <w:t xml:space="preserve">اند. همچنان که با طرح مسئله ابطال </w:t>
      </w:r>
      <w:r w:rsidR="00937617" w:rsidRPr="00B47843">
        <w:rPr>
          <w:rFonts w:hint="cs"/>
          <w:rtl/>
          <w:lang w:bidi="fa-IR"/>
        </w:rPr>
        <w:t>یا تعلیق رأی به عنوان یک مبنای ردّ درخواست اجرا مخالف بوده و معتقد به سلب اثر بین</w:t>
      </w:r>
      <w:r w:rsidR="00D77921">
        <w:rPr>
          <w:rFonts w:hint="cs"/>
          <w:rtl/>
          <w:lang w:bidi="fa-IR"/>
        </w:rPr>
        <w:t>‌</w:t>
      </w:r>
      <w:r w:rsidR="00937617" w:rsidRPr="00B47843">
        <w:rPr>
          <w:rFonts w:hint="cs"/>
          <w:rtl/>
          <w:lang w:bidi="fa-IR"/>
        </w:rPr>
        <w:t>المللی ابطال و محلی تلقی کردن آن هستند. به نظر می</w:t>
      </w:r>
      <w:r w:rsidR="00D77921">
        <w:rPr>
          <w:rFonts w:hint="cs"/>
          <w:rtl/>
          <w:lang w:bidi="fa-IR"/>
        </w:rPr>
        <w:t>‌</w:t>
      </w:r>
      <w:r w:rsidR="00937617" w:rsidRPr="00B47843">
        <w:rPr>
          <w:rFonts w:hint="cs"/>
          <w:rtl/>
          <w:lang w:bidi="fa-IR"/>
        </w:rPr>
        <w:t>رسد که دست</w:t>
      </w:r>
      <w:r w:rsidR="00D77921">
        <w:rPr>
          <w:rFonts w:hint="cs"/>
          <w:rtl/>
          <w:lang w:bidi="fa-IR"/>
        </w:rPr>
        <w:t>‌</w:t>
      </w:r>
      <w:r w:rsidR="00937617" w:rsidRPr="00B47843">
        <w:rPr>
          <w:rFonts w:hint="cs"/>
          <w:rtl/>
          <w:lang w:bidi="fa-IR"/>
        </w:rPr>
        <w:t xml:space="preserve">کم، کشورهای جهان سوم </w:t>
      </w:r>
      <w:r w:rsidR="00313617" w:rsidRPr="00B47843">
        <w:rPr>
          <w:rFonts w:hint="cs"/>
          <w:rtl/>
          <w:lang w:bidi="fa-IR"/>
        </w:rPr>
        <w:t>آمادگی صرف</w:t>
      </w:r>
      <w:r w:rsidR="00313617" w:rsidRPr="00B47843">
        <w:rPr>
          <w:rtl/>
          <w:lang w:bidi="fa-IR"/>
        </w:rPr>
        <w:softHyphen/>
      </w:r>
      <w:r w:rsidR="00313617" w:rsidRPr="00B47843">
        <w:rPr>
          <w:rFonts w:hint="cs"/>
          <w:rtl/>
          <w:lang w:bidi="fa-IR"/>
        </w:rPr>
        <w:t>نظر کردن از حق اعمال نظارت قضایی بر پایه معیارهای ملی مطروحه در نظام</w:t>
      </w:r>
      <w:r w:rsidR="00D77921">
        <w:rPr>
          <w:rFonts w:hint="cs"/>
          <w:rtl/>
          <w:lang w:bidi="fa-IR"/>
        </w:rPr>
        <w:t>‌</w:t>
      </w:r>
      <w:r w:rsidR="00313617" w:rsidRPr="00B47843">
        <w:rPr>
          <w:rFonts w:hint="cs"/>
          <w:rtl/>
          <w:lang w:bidi="fa-IR"/>
        </w:rPr>
        <w:t>های حقوقی خود را که به هدف تأمین مصالح و منافع ملی است، ندارند و در کنوانسیون نیویورک نیز با توجه به ارجاعات مکرر به نظام</w:t>
      </w:r>
      <w:r w:rsidR="00D77921">
        <w:rPr>
          <w:rFonts w:hint="cs"/>
          <w:rtl/>
          <w:lang w:bidi="fa-IR"/>
        </w:rPr>
        <w:t>‌</w:t>
      </w:r>
      <w:r w:rsidR="00313617" w:rsidRPr="00B47843">
        <w:rPr>
          <w:rFonts w:hint="cs"/>
          <w:rtl/>
          <w:lang w:bidi="fa-IR"/>
        </w:rPr>
        <w:t>های حقوقی ملی، تاب چنین تفسیری دیده نمی</w:t>
      </w:r>
      <w:r w:rsidR="00D77921">
        <w:rPr>
          <w:rFonts w:hint="cs"/>
          <w:rtl/>
          <w:lang w:bidi="fa-IR"/>
        </w:rPr>
        <w:t>‌</w:t>
      </w:r>
      <w:r w:rsidR="00313617" w:rsidRPr="00B47843">
        <w:rPr>
          <w:rFonts w:hint="cs"/>
          <w:rtl/>
          <w:lang w:bidi="fa-IR"/>
        </w:rPr>
        <w:t>شود.</w:t>
      </w:r>
    </w:p>
    <w:p w:rsidR="00313617" w:rsidRPr="00B47843" w:rsidRDefault="00054982" w:rsidP="004C2DA3">
      <w:pPr>
        <w:pStyle w:val="ListParagraph"/>
        <w:bidi/>
        <w:spacing w:before="240"/>
        <w:ind w:left="0" w:firstLine="360"/>
        <w:jc w:val="mediumKashida"/>
        <w:rPr>
          <w:lang w:bidi="fa-IR"/>
        </w:rPr>
      </w:pPr>
      <w:r>
        <w:rPr>
          <w:rFonts w:hint="cs"/>
          <w:rtl/>
          <w:lang w:bidi="fa-IR"/>
        </w:rPr>
        <w:t xml:space="preserve">2- </w:t>
      </w:r>
      <w:r w:rsidR="00313617" w:rsidRPr="00B47843">
        <w:rPr>
          <w:rFonts w:hint="cs"/>
          <w:rtl/>
          <w:lang w:bidi="fa-IR"/>
        </w:rPr>
        <w:t>گرچه، همان</w:t>
      </w:r>
      <w:r w:rsidR="00D77921">
        <w:rPr>
          <w:rFonts w:hint="cs"/>
          <w:rtl/>
          <w:lang w:bidi="fa-IR"/>
        </w:rPr>
        <w:t>‌</w:t>
      </w:r>
      <w:r w:rsidR="00313617" w:rsidRPr="00B47843">
        <w:rPr>
          <w:rFonts w:hint="cs"/>
          <w:rtl/>
          <w:lang w:bidi="fa-IR"/>
        </w:rPr>
        <w:t xml:space="preserve">طور که گفته شد، در فرض قابلیت اعمال کنوانسیون نیویورک، محورهای مورد اشاره، تنها جهات ردّ درخواست اجرای رأی هستند، ولی در فرض </w:t>
      </w:r>
      <w:r w:rsidR="00313617" w:rsidRPr="00B47843">
        <w:rPr>
          <w:rFonts w:hint="cs"/>
          <w:rtl/>
          <w:lang w:bidi="fa-IR"/>
        </w:rPr>
        <w:lastRenderedPageBreak/>
        <w:t>عدم قابلیت اعمال کنوانسیون، نمی</w:t>
      </w:r>
      <w:r w:rsidR="00D77921">
        <w:rPr>
          <w:rFonts w:hint="cs"/>
          <w:rtl/>
          <w:lang w:bidi="fa-IR"/>
        </w:rPr>
        <w:t>‌</w:t>
      </w:r>
      <w:r w:rsidR="00313617" w:rsidRPr="00B47843">
        <w:rPr>
          <w:rFonts w:hint="cs"/>
          <w:rtl/>
          <w:lang w:bidi="fa-IR"/>
        </w:rPr>
        <w:t>توان به حصری بودن جهات مزبور مطمئن بود. چه، به عنوان نمونه، در گذشته</w:t>
      </w:r>
      <w:r w:rsidR="00D77921">
        <w:rPr>
          <w:rFonts w:hint="cs"/>
          <w:rtl/>
          <w:lang w:bidi="fa-IR"/>
        </w:rPr>
        <w:t>‌</w:t>
      </w:r>
      <w:r w:rsidR="00313617" w:rsidRPr="00B47843">
        <w:rPr>
          <w:rFonts w:hint="cs"/>
          <w:rtl/>
          <w:lang w:bidi="fa-IR"/>
        </w:rPr>
        <w:t>ای نزدیک در حقوق آلمان و ایتالیا، تودیع رأی در دادگاه محلی</w:t>
      </w:r>
      <w:r w:rsidR="006C7C06" w:rsidRPr="00B47843">
        <w:rPr>
          <w:rFonts w:hint="cs"/>
          <w:rtl/>
          <w:lang w:bidi="fa-IR"/>
        </w:rPr>
        <w:t>، یک قاعده امری بود. به موجب حقوق ایتالیا، تودیع رأی باید ظرف پنج روز پس از امضای رأی داوری به عمل می</w:t>
      </w:r>
      <w:r w:rsidR="00D77921">
        <w:rPr>
          <w:rFonts w:hint="cs"/>
          <w:rtl/>
          <w:lang w:bidi="fa-IR"/>
        </w:rPr>
        <w:t>‌</w:t>
      </w:r>
      <w:r w:rsidR="006C7C06" w:rsidRPr="00B47843">
        <w:rPr>
          <w:rFonts w:hint="cs"/>
          <w:rtl/>
          <w:lang w:bidi="fa-IR"/>
        </w:rPr>
        <w:t>آمد و تنها پس از صدور قرار دادگاه محلی، رأی داوری اعتبار امر مختومه را کسب می</w:t>
      </w:r>
      <w:r w:rsidR="00785084">
        <w:rPr>
          <w:rFonts w:hint="cs"/>
          <w:rtl/>
          <w:lang w:bidi="fa-IR"/>
        </w:rPr>
        <w:t>‌</w:t>
      </w:r>
      <w:r w:rsidR="006C7C06" w:rsidRPr="00B47843">
        <w:rPr>
          <w:rFonts w:hint="cs"/>
          <w:rtl/>
          <w:lang w:bidi="fa-IR"/>
        </w:rPr>
        <w:t>نمود. در آلمان، تودیع رأی به دادگاه محلی دارای محدودیت زمانی نبود. اما به هر حال، با تودیع، رأی داوری وصف الزام</w:t>
      </w:r>
      <w:r w:rsidR="00D77921">
        <w:rPr>
          <w:rFonts w:hint="cs"/>
          <w:rtl/>
          <w:lang w:bidi="fa-IR"/>
        </w:rPr>
        <w:t>‌</w:t>
      </w:r>
      <w:r w:rsidR="006C7C06" w:rsidRPr="00B47843">
        <w:rPr>
          <w:rFonts w:hint="cs"/>
          <w:rtl/>
          <w:lang w:bidi="fa-IR"/>
        </w:rPr>
        <w:t>آور به خود می</w:t>
      </w:r>
      <w:r w:rsidR="00D77921">
        <w:rPr>
          <w:rFonts w:hint="cs"/>
          <w:rtl/>
          <w:lang w:bidi="fa-IR"/>
        </w:rPr>
        <w:t>‌</w:t>
      </w:r>
      <w:r w:rsidR="006C7C06" w:rsidRPr="00B47843">
        <w:rPr>
          <w:rFonts w:hint="cs"/>
          <w:rtl/>
          <w:lang w:bidi="fa-IR"/>
        </w:rPr>
        <w:t>گرفت و دستور اجرا تنها اثر یا قوه اجرایی به رأی اعطا می</w:t>
      </w:r>
      <w:r w:rsidR="00785084">
        <w:rPr>
          <w:rFonts w:hint="cs"/>
          <w:rtl/>
          <w:lang w:bidi="fa-IR"/>
        </w:rPr>
        <w:t>‌</w:t>
      </w:r>
      <w:r w:rsidR="006C7C06" w:rsidRPr="00B47843">
        <w:rPr>
          <w:rFonts w:hint="cs"/>
          <w:rtl/>
          <w:lang w:bidi="fa-IR"/>
        </w:rPr>
        <w:t>نمود. گرچه مقررات حقوقی ایتالیا و آلمان به ترتیب پس از اصلاحات سال</w:t>
      </w:r>
      <w:r w:rsidR="00D77921">
        <w:rPr>
          <w:rFonts w:hint="cs"/>
          <w:rtl/>
          <w:lang w:bidi="fa-IR"/>
        </w:rPr>
        <w:t>‌</w:t>
      </w:r>
      <w:r w:rsidR="006C7C06" w:rsidRPr="00B47843">
        <w:rPr>
          <w:rFonts w:hint="cs"/>
          <w:rtl/>
          <w:lang w:bidi="fa-IR"/>
        </w:rPr>
        <w:t>های 1983 و 1986 تغییر نموده و بسیار معتدل</w:t>
      </w:r>
      <w:r w:rsidR="00D77921">
        <w:rPr>
          <w:rFonts w:hint="cs"/>
          <w:rtl/>
          <w:lang w:bidi="fa-IR"/>
        </w:rPr>
        <w:t>‌</w:t>
      </w:r>
      <w:r w:rsidR="006C7C06" w:rsidRPr="00B47843">
        <w:rPr>
          <w:rFonts w:hint="cs"/>
          <w:rtl/>
          <w:lang w:bidi="fa-IR"/>
        </w:rPr>
        <w:t>تر شده است، ولی هنوز در بسیاری از کشورهای جهان شرط تودیع رأی داوری به دادگاه محلی، از جمله شرایط قابلیت اجرای آن است. بدین ترتیب عدم تودیع یا عدم ایفای برخی شروط دیگر به صورت مبانی اضافی و اختصاصی ردّ اجرای رأی داوری خارجی در برخی نظام</w:t>
      </w:r>
      <w:r w:rsidR="006C7C06" w:rsidRPr="00B47843">
        <w:rPr>
          <w:rtl/>
          <w:lang w:bidi="fa-IR"/>
        </w:rPr>
        <w:softHyphen/>
      </w:r>
      <w:r w:rsidR="006C7C06" w:rsidRPr="00B47843">
        <w:rPr>
          <w:rFonts w:hint="cs"/>
          <w:rtl/>
          <w:lang w:bidi="fa-IR"/>
        </w:rPr>
        <w:t>های حقوقی دیده می</w:t>
      </w:r>
      <w:r w:rsidR="00785084">
        <w:rPr>
          <w:rFonts w:hint="cs"/>
          <w:rtl/>
          <w:lang w:bidi="fa-IR"/>
        </w:rPr>
        <w:t>‌</w:t>
      </w:r>
      <w:r w:rsidR="006C7C06" w:rsidRPr="00B47843">
        <w:rPr>
          <w:rFonts w:hint="cs"/>
          <w:rtl/>
          <w:lang w:bidi="fa-IR"/>
        </w:rPr>
        <w:t>شود.</w:t>
      </w:r>
    </w:p>
    <w:p w:rsidR="006C7C06" w:rsidRPr="00B47843" w:rsidRDefault="00054982" w:rsidP="004C2DA3">
      <w:pPr>
        <w:pStyle w:val="ListParagraph"/>
        <w:bidi/>
        <w:spacing w:before="240"/>
        <w:ind w:left="0" w:firstLine="360"/>
        <w:jc w:val="mediumKashida"/>
        <w:rPr>
          <w:lang w:bidi="fa-IR"/>
        </w:rPr>
      </w:pPr>
      <w:r>
        <w:rPr>
          <w:rFonts w:hint="cs"/>
          <w:rtl/>
          <w:lang w:bidi="fa-IR"/>
        </w:rPr>
        <w:t xml:space="preserve">3- </w:t>
      </w:r>
      <w:r w:rsidR="006C7C06" w:rsidRPr="00B47843">
        <w:rPr>
          <w:rFonts w:hint="cs"/>
          <w:rtl/>
          <w:lang w:bidi="fa-IR"/>
        </w:rPr>
        <w:t>یکی از مبانی</w:t>
      </w:r>
      <w:r w:rsidR="002023A5" w:rsidRPr="00B47843">
        <w:rPr>
          <w:rFonts w:hint="cs"/>
          <w:rtl/>
          <w:lang w:bidi="fa-IR"/>
        </w:rPr>
        <w:t xml:space="preserve"> ردّ درخواست اجرا، در آرای صادره علیه دولت</w:t>
      </w:r>
      <w:r w:rsidR="00785084">
        <w:rPr>
          <w:rFonts w:hint="cs"/>
          <w:rtl/>
          <w:lang w:bidi="fa-IR"/>
        </w:rPr>
        <w:t>‌</w:t>
      </w:r>
      <w:r w:rsidR="002023A5" w:rsidRPr="00B47843">
        <w:rPr>
          <w:rFonts w:hint="cs"/>
          <w:rtl/>
          <w:lang w:bidi="fa-IR"/>
        </w:rPr>
        <w:t>ها و مؤسسات دولتی، مسأله مصونیت دولت</w:t>
      </w:r>
      <w:r w:rsidR="00785084">
        <w:rPr>
          <w:rFonts w:hint="cs"/>
          <w:rtl/>
          <w:lang w:bidi="fa-IR"/>
        </w:rPr>
        <w:t>‌</w:t>
      </w:r>
      <w:r w:rsidR="002023A5" w:rsidRPr="00B47843">
        <w:rPr>
          <w:rFonts w:hint="cs"/>
          <w:rtl/>
          <w:lang w:bidi="fa-IR"/>
        </w:rPr>
        <w:t>هاست. این امر گرچه به طور معمول جزء محورهای مشترک نظارت قضایی ذکر نمی</w:t>
      </w:r>
      <w:r w:rsidR="00785084">
        <w:rPr>
          <w:rFonts w:hint="cs"/>
          <w:rtl/>
          <w:lang w:bidi="fa-IR"/>
        </w:rPr>
        <w:t>‌</w:t>
      </w:r>
      <w:r w:rsidR="002023A5" w:rsidRPr="00B47843">
        <w:rPr>
          <w:rFonts w:hint="cs"/>
          <w:rtl/>
          <w:lang w:bidi="fa-IR"/>
        </w:rPr>
        <w:t>شود و مبنای آن نیز بیشتر احترام به حاکمیت</w:t>
      </w:r>
      <w:r w:rsidR="00785084">
        <w:rPr>
          <w:rFonts w:hint="cs"/>
          <w:rtl/>
          <w:lang w:bidi="fa-IR"/>
        </w:rPr>
        <w:t>‌</w:t>
      </w:r>
      <w:r w:rsidR="002023A5" w:rsidRPr="00B47843">
        <w:rPr>
          <w:rFonts w:hint="cs"/>
          <w:rtl/>
          <w:lang w:bidi="fa-IR"/>
        </w:rPr>
        <w:t>های مساوی و نزاکت است تا کنترل قضایی، ولی در عمل بررسی آن به عنوان یکی از موانع اجرا در کنار سایر موانع مرسوم است و تحولات اخیر در نحوه نگرش نسبت به موضوع، مقتضی بررسی دوباره مفهوم مصونیت قضایی و اجرایی دولت و حدود آن است.</w:t>
      </w:r>
      <w:r w:rsidR="006935C8" w:rsidRPr="00B47843">
        <w:rPr>
          <w:rStyle w:val="FootnoteReference"/>
          <w:rtl/>
          <w:lang w:bidi="fa-IR"/>
        </w:rPr>
        <w:footnoteReference w:id="46"/>
      </w:r>
    </w:p>
    <w:p w:rsidR="00D30256" w:rsidRDefault="00A74EE9" w:rsidP="004C2DA3">
      <w:pPr>
        <w:bidi/>
        <w:spacing w:before="240"/>
        <w:ind w:firstLine="360"/>
        <w:jc w:val="mediumKashida"/>
        <w:rPr>
          <w:rtl/>
          <w:lang w:bidi="fa-IR"/>
        </w:rPr>
      </w:pPr>
      <w:r w:rsidRPr="00B47843">
        <w:rPr>
          <w:rFonts w:hint="cs"/>
          <w:rtl/>
          <w:lang w:bidi="fa-IR"/>
        </w:rPr>
        <w:lastRenderedPageBreak/>
        <w:t>از میان تمامی موانع اجرای آرای داوری، آنچه در این پژوهش محل بحث است، نظم عمومی است. لذا در مباحث آتی، صرف</w:t>
      </w:r>
      <w:r w:rsidR="00785084">
        <w:rPr>
          <w:rFonts w:hint="cs"/>
          <w:rtl/>
          <w:lang w:bidi="fa-IR"/>
        </w:rPr>
        <w:t>‌</w:t>
      </w:r>
      <w:r w:rsidRPr="00B47843">
        <w:rPr>
          <w:rFonts w:hint="cs"/>
          <w:rtl/>
          <w:lang w:bidi="fa-IR"/>
        </w:rPr>
        <w:t>نظر از دیگر موارد، تنها به این موضوع پرداخته خواهد شد.</w:t>
      </w:r>
    </w:p>
    <w:p w:rsidR="0086692B" w:rsidRDefault="0086692B" w:rsidP="004E69BB">
      <w:pPr>
        <w:bidi/>
        <w:spacing w:before="240"/>
        <w:jc w:val="mediumKashida"/>
        <w:rPr>
          <w:rtl/>
          <w:lang w:bidi="fa-IR"/>
        </w:rPr>
      </w:pPr>
    </w:p>
    <w:p w:rsidR="005169D8" w:rsidRDefault="00054982" w:rsidP="00963790">
      <w:pPr>
        <w:pStyle w:val="Heading1"/>
        <w:rPr>
          <w:rtl/>
        </w:rPr>
      </w:pPr>
      <w:bookmarkStart w:id="9" w:name="_Toc397212636"/>
      <w:r w:rsidRPr="00054982">
        <w:rPr>
          <w:rFonts w:hint="cs"/>
          <w:rtl/>
        </w:rPr>
        <w:t>فصل دوم: نظم عمومی</w:t>
      </w:r>
      <w:bookmarkEnd w:id="9"/>
    </w:p>
    <w:p w:rsidR="00054982" w:rsidRPr="00054982" w:rsidRDefault="00054982" w:rsidP="004E69BB">
      <w:pPr>
        <w:bidi/>
        <w:spacing w:before="240"/>
        <w:jc w:val="both"/>
        <w:rPr>
          <w:rFonts w:cs="B Zar"/>
          <w:b/>
          <w:bCs/>
          <w:sz w:val="44"/>
          <w:szCs w:val="44"/>
          <w:rtl/>
          <w:lang w:bidi="fa-IR"/>
        </w:rPr>
      </w:pPr>
    </w:p>
    <w:p w:rsidR="001E15E5" w:rsidRDefault="001E15E5" w:rsidP="004E69BB">
      <w:pPr>
        <w:pStyle w:val="Heading2"/>
        <w:jc w:val="center"/>
        <w:rPr>
          <w:lang w:bidi="fa-IR"/>
        </w:rPr>
      </w:pPr>
      <w:bookmarkStart w:id="10" w:name="_Toc397212637"/>
      <w:r w:rsidRPr="00054982">
        <w:rPr>
          <w:rtl/>
          <w:lang w:bidi="fa-IR"/>
        </w:rPr>
        <w:t xml:space="preserve">گفتار اول: </w:t>
      </w:r>
      <w:r w:rsidR="000137D6" w:rsidRPr="00054982">
        <w:rPr>
          <w:rFonts w:hint="cs"/>
          <w:rtl/>
          <w:lang w:bidi="fa-IR"/>
        </w:rPr>
        <w:t>تاریخچه و</w:t>
      </w:r>
      <w:r w:rsidR="00683F8B" w:rsidRPr="00054982">
        <w:rPr>
          <w:rFonts w:hint="cs"/>
          <w:rtl/>
          <w:lang w:bidi="fa-IR"/>
        </w:rPr>
        <w:t xml:space="preserve"> مفهوم </w:t>
      </w:r>
      <w:r w:rsidRPr="00054982">
        <w:rPr>
          <w:rtl/>
          <w:lang w:bidi="fa-IR"/>
        </w:rPr>
        <w:t>نظم عموم</w:t>
      </w:r>
      <w:r w:rsidRPr="00054982">
        <w:rPr>
          <w:rFonts w:hint="cs"/>
          <w:rtl/>
          <w:lang w:bidi="fa-IR"/>
        </w:rPr>
        <w:t>ی</w:t>
      </w:r>
      <w:bookmarkEnd w:id="10"/>
    </w:p>
    <w:p w:rsidR="004E69BB" w:rsidRPr="004E69BB" w:rsidRDefault="004E69BB" w:rsidP="004E69BB">
      <w:pPr>
        <w:rPr>
          <w:rtl/>
          <w:lang w:bidi="fa-IR"/>
        </w:rPr>
      </w:pPr>
    </w:p>
    <w:p w:rsidR="002527C7" w:rsidRPr="002527C7" w:rsidRDefault="002527C7" w:rsidP="004C2DA3">
      <w:pPr>
        <w:bidi/>
        <w:spacing w:before="240"/>
        <w:ind w:firstLine="360"/>
        <w:jc w:val="mediumKashida"/>
        <w:rPr>
          <w:rtl/>
          <w:lang w:bidi="fa-IR"/>
        </w:rPr>
      </w:pPr>
      <w:r w:rsidRPr="002527C7">
        <w:rPr>
          <w:rFonts w:hint="cs"/>
          <w:rtl/>
          <w:lang w:bidi="fa-IR"/>
        </w:rPr>
        <w:t>از نظر تاریخی نخستین بار که مفهومی مشابه نظم عمومی مورد توجه اندیشمندان</w:t>
      </w:r>
      <w:r w:rsidR="002C488B">
        <w:rPr>
          <w:rFonts w:hint="cs"/>
          <w:rtl/>
          <w:lang w:bidi="fa-IR"/>
        </w:rPr>
        <w:t xml:space="preserve"> حقوقی</w:t>
      </w:r>
      <w:r w:rsidRPr="002527C7">
        <w:rPr>
          <w:rFonts w:hint="cs"/>
          <w:rtl/>
          <w:lang w:bidi="fa-IR"/>
        </w:rPr>
        <w:t xml:space="preserve"> قرار گرفت، در زمان بارتل(مکتب ایتالیایی قدیم در </w:t>
      </w:r>
      <w:r w:rsidR="000137D6">
        <w:rPr>
          <w:rFonts w:hint="cs"/>
          <w:rtl/>
          <w:lang w:bidi="fa-IR"/>
        </w:rPr>
        <w:t xml:space="preserve">قرن 14 میلادی) بود. وی نظریه‌ی </w:t>
      </w:r>
      <w:r w:rsidRPr="002527C7">
        <w:rPr>
          <w:rFonts w:hint="cs"/>
          <w:rtl/>
          <w:lang w:bidi="fa-IR"/>
        </w:rPr>
        <w:t>نفع عمومی</w:t>
      </w:r>
      <w:r w:rsidRPr="002527C7">
        <w:rPr>
          <w:vertAlign w:val="superscript"/>
          <w:rtl/>
          <w:lang w:bidi="fa-IR"/>
        </w:rPr>
        <w:footnoteReference w:id="47"/>
      </w:r>
      <w:r w:rsidRPr="002527C7">
        <w:rPr>
          <w:rFonts w:hint="cs"/>
          <w:rtl/>
          <w:lang w:bidi="fa-IR"/>
        </w:rPr>
        <w:t xml:space="preserve"> را مطرح کرد که به موجب آن هر قراردادی که مخالف نفع عمومی بود، باطل محسوب می‌شد.</w:t>
      </w:r>
      <w:r w:rsidRPr="002527C7">
        <w:rPr>
          <w:vertAlign w:val="superscript"/>
          <w:rtl/>
          <w:lang w:bidi="fa-IR"/>
        </w:rPr>
        <w:footnoteReference w:id="48"/>
      </w:r>
    </w:p>
    <w:p w:rsidR="002527C7" w:rsidRPr="002527C7" w:rsidRDefault="000137D6" w:rsidP="004C2DA3">
      <w:pPr>
        <w:bidi/>
        <w:spacing w:before="240"/>
        <w:ind w:firstLine="360"/>
        <w:jc w:val="mediumKashida"/>
        <w:rPr>
          <w:lang w:bidi="fa-IR"/>
        </w:rPr>
      </w:pPr>
      <w:r>
        <w:rPr>
          <w:rFonts w:hint="cs"/>
          <w:rtl/>
          <w:lang w:bidi="fa-IR"/>
        </w:rPr>
        <w:t xml:space="preserve">قبل از بارتل اغلب مفاهیمی نظیر </w:t>
      </w:r>
      <w:r w:rsidR="002527C7" w:rsidRPr="002527C7">
        <w:rPr>
          <w:rFonts w:hint="cs"/>
          <w:rtl/>
          <w:lang w:bidi="fa-IR"/>
        </w:rPr>
        <w:t>اخلاق حسنه</w:t>
      </w:r>
      <w:r w:rsidR="002527C7" w:rsidRPr="002527C7">
        <w:rPr>
          <w:vertAlign w:val="superscript"/>
          <w:rtl/>
          <w:lang w:bidi="fa-IR"/>
        </w:rPr>
        <w:footnoteReference w:id="49"/>
      </w:r>
      <w:r w:rsidR="002527C7" w:rsidRPr="002527C7">
        <w:rPr>
          <w:rFonts w:hint="cs"/>
          <w:rtl/>
          <w:lang w:bidi="fa-IR"/>
        </w:rPr>
        <w:t xml:space="preserve"> در این زمینه به کار می‌رفت. به عنوان مثال در حقوق رم و همچنین در حقوق قدیم فرانسه مفهوم اخلاق حسنه </w:t>
      </w:r>
      <w:r w:rsidR="002527C7" w:rsidRPr="002527C7">
        <w:rPr>
          <w:rFonts w:hint="cs"/>
          <w:rtl/>
          <w:lang w:bidi="fa-IR"/>
        </w:rPr>
        <w:lastRenderedPageBreak/>
        <w:t>مورد نظر بوده است. بعد از آن در قرن 17 میلادی دوما</w:t>
      </w:r>
      <w:r w:rsidR="002527C7" w:rsidRPr="002527C7">
        <w:rPr>
          <w:vertAlign w:val="superscript"/>
          <w:rtl/>
          <w:lang w:bidi="fa-IR"/>
        </w:rPr>
        <w:footnoteReference w:id="50"/>
      </w:r>
      <w:r w:rsidR="002527C7" w:rsidRPr="002527C7">
        <w:rPr>
          <w:lang w:bidi="fa-IR"/>
        </w:rPr>
        <w:t xml:space="preserve"> </w:t>
      </w:r>
      <w:r w:rsidR="002527C7" w:rsidRPr="002527C7">
        <w:rPr>
          <w:rFonts w:hint="cs"/>
          <w:rtl/>
          <w:lang w:bidi="fa-IR"/>
        </w:rPr>
        <w:t>اندیشمند حقوقی، از جمله اولین کسانی بود که سعی کرد تعریفی نو از مفهوم نظم عمومی ارائه دهد و اصطلاح نظم اجتماعی</w:t>
      </w:r>
      <w:r w:rsidR="00D2001C">
        <w:rPr>
          <w:rStyle w:val="FootnoteReference"/>
          <w:rtl/>
          <w:lang w:bidi="fa-IR"/>
        </w:rPr>
        <w:footnoteReference w:id="51"/>
      </w:r>
      <w:r w:rsidR="002527C7" w:rsidRPr="002527C7">
        <w:rPr>
          <w:rFonts w:hint="cs"/>
          <w:rtl/>
          <w:lang w:bidi="fa-IR"/>
        </w:rPr>
        <w:t xml:space="preserve"> و نظم خارجی</w:t>
      </w:r>
      <w:r w:rsidR="00D2001C">
        <w:rPr>
          <w:rStyle w:val="FootnoteReference"/>
          <w:rtl/>
          <w:lang w:bidi="fa-IR"/>
        </w:rPr>
        <w:footnoteReference w:id="52"/>
      </w:r>
      <w:r w:rsidR="002527C7" w:rsidRPr="002527C7">
        <w:rPr>
          <w:rFonts w:hint="cs"/>
          <w:rtl/>
          <w:lang w:bidi="fa-IR"/>
        </w:rPr>
        <w:t xml:space="preserve"> را در این خصوص عنوان کرد.</w:t>
      </w:r>
      <w:r w:rsidR="00D2001C">
        <w:rPr>
          <w:rStyle w:val="FootnoteReference"/>
          <w:rtl/>
          <w:lang w:bidi="fa-IR"/>
        </w:rPr>
        <w:footnoteReference w:id="53"/>
      </w:r>
    </w:p>
    <w:p w:rsidR="002527C7" w:rsidRPr="002527C7" w:rsidRDefault="002527C7" w:rsidP="004C2DA3">
      <w:pPr>
        <w:bidi/>
        <w:spacing w:before="240"/>
        <w:ind w:firstLine="360"/>
        <w:jc w:val="mediumKashida"/>
        <w:rPr>
          <w:rtl/>
          <w:lang w:bidi="fa-IR"/>
        </w:rPr>
      </w:pPr>
      <w:r w:rsidRPr="002527C7">
        <w:rPr>
          <w:rFonts w:hint="cs"/>
          <w:rtl/>
          <w:lang w:bidi="fa-IR"/>
        </w:rPr>
        <w:t xml:space="preserve">بعد از انقلاب کبیر </w:t>
      </w:r>
      <w:r w:rsidR="000137D6">
        <w:rPr>
          <w:rFonts w:hint="cs"/>
          <w:rtl/>
          <w:lang w:bidi="fa-IR"/>
        </w:rPr>
        <w:t xml:space="preserve">فرانسه، اصطلاح </w:t>
      </w:r>
      <w:r w:rsidRPr="002527C7">
        <w:rPr>
          <w:rFonts w:hint="cs"/>
          <w:rtl/>
          <w:lang w:bidi="fa-IR"/>
        </w:rPr>
        <w:t>نظم عمومی</w:t>
      </w:r>
      <w:r w:rsidRPr="002527C7">
        <w:rPr>
          <w:vertAlign w:val="superscript"/>
          <w:rtl/>
          <w:lang w:bidi="fa-IR"/>
        </w:rPr>
        <w:footnoteReference w:id="54"/>
      </w:r>
      <w:r w:rsidRPr="002527C7">
        <w:rPr>
          <w:rFonts w:hint="cs"/>
          <w:rtl/>
          <w:lang w:bidi="fa-IR"/>
        </w:rPr>
        <w:t xml:space="preserve"> </w:t>
      </w:r>
      <w:r w:rsidR="00D2001C">
        <w:rPr>
          <w:rFonts w:hint="cs"/>
          <w:rtl/>
          <w:lang w:bidi="fa-IR"/>
        </w:rPr>
        <w:t xml:space="preserve">برای نخستین بار در متون قانونی </w:t>
      </w:r>
      <w:r w:rsidRPr="002527C7">
        <w:rPr>
          <w:rFonts w:hint="cs"/>
          <w:rtl/>
          <w:lang w:bidi="fa-IR"/>
        </w:rPr>
        <w:t>عنوان شد</w:t>
      </w:r>
      <w:r w:rsidRPr="002527C7">
        <w:rPr>
          <w:vertAlign w:val="superscript"/>
          <w:rtl/>
          <w:lang w:bidi="fa-IR"/>
        </w:rPr>
        <w:footnoteReference w:id="55"/>
      </w:r>
      <w:r w:rsidR="00D2001C">
        <w:rPr>
          <w:rFonts w:hint="cs"/>
          <w:rtl/>
          <w:lang w:bidi="fa-IR"/>
        </w:rPr>
        <w:t xml:space="preserve"> و ب</w:t>
      </w:r>
      <w:r w:rsidR="002B13C9">
        <w:rPr>
          <w:rFonts w:hint="cs"/>
          <w:rtl/>
          <w:lang w:bidi="fa-IR"/>
        </w:rPr>
        <w:t>دین ترتیب به ادبیات حقوقی وارد گردید تا این‌که به</w:t>
      </w:r>
      <w:r w:rsidRPr="002527C7">
        <w:rPr>
          <w:rFonts w:hint="cs"/>
          <w:rtl/>
          <w:lang w:bidi="fa-IR"/>
        </w:rPr>
        <w:t xml:space="preserve"> تدریج به قوانین کلیه‌ی کشورها از جمله بلژیک، ایتالیا، اسپانیا، ایران، یونان و بسیاری از کشورهای دیگر راه یافت. مفهوم نظم عمومی یکی از مهم‌ترین مفاهیم حقوقی درنظام‌های حقوقی موضوعه است. رنه داوید</w:t>
      </w:r>
      <w:r w:rsidRPr="002527C7">
        <w:rPr>
          <w:vertAlign w:val="superscript"/>
          <w:rtl/>
          <w:lang w:bidi="fa-IR"/>
        </w:rPr>
        <w:footnoteReference w:id="56"/>
      </w:r>
      <w:r w:rsidRPr="002527C7">
        <w:rPr>
          <w:rFonts w:hint="cs"/>
          <w:rtl/>
          <w:lang w:bidi="fa-IR"/>
        </w:rPr>
        <w:t xml:space="preserve"> نظم عمومی را قاعده‌ای معرفی می‌کند که در تمامی شاخه‌های حقوقی کاربرد دارد. قاعده‌ای با تکرار و فراوانی بسیار و گاهی انحصاری</w:t>
      </w:r>
      <w:r w:rsidR="002B13C9">
        <w:rPr>
          <w:rFonts w:hint="cs"/>
          <w:rtl/>
          <w:lang w:bidi="fa-IR"/>
        </w:rPr>
        <w:t>.</w:t>
      </w:r>
      <w:r w:rsidRPr="002527C7">
        <w:rPr>
          <w:vertAlign w:val="superscript"/>
          <w:rtl/>
          <w:lang w:bidi="fa-IR"/>
        </w:rPr>
        <w:footnoteReference w:id="57"/>
      </w:r>
    </w:p>
    <w:p w:rsidR="002527C7" w:rsidRPr="002527C7" w:rsidRDefault="002527C7" w:rsidP="004C2DA3">
      <w:pPr>
        <w:bidi/>
        <w:spacing w:before="240"/>
        <w:ind w:firstLine="360"/>
        <w:jc w:val="mediumKashida"/>
        <w:rPr>
          <w:rtl/>
          <w:lang w:bidi="fa-IR"/>
        </w:rPr>
      </w:pPr>
      <w:r w:rsidRPr="002527C7">
        <w:rPr>
          <w:rFonts w:hint="cs"/>
          <w:rtl/>
          <w:lang w:bidi="fa-IR"/>
        </w:rPr>
        <w:t>د</w:t>
      </w:r>
      <w:r w:rsidR="000137D6">
        <w:rPr>
          <w:rFonts w:hint="cs"/>
          <w:rtl/>
          <w:lang w:bidi="fa-IR"/>
        </w:rPr>
        <w:t>ر کشورهای دارای نظام حقوقی کامن‌</w:t>
      </w:r>
      <w:r w:rsidRPr="002527C7">
        <w:rPr>
          <w:rFonts w:hint="cs"/>
          <w:rtl/>
          <w:lang w:bidi="fa-IR"/>
        </w:rPr>
        <w:t>لا</w:t>
      </w:r>
      <w:r w:rsidRPr="002527C7">
        <w:rPr>
          <w:vertAlign w:val="superscript"/>
          <w:rtl/>
          <w:lang w:bidi="fa-IR"/>
        </w:rPr>
        <w:footnoteReference w:id="58"/>
      </w:r>
      <w:r w:rsidRPr="002527C7">
        <w:rPr>
          <w:rFonts w:hint="cs"/>
          <w:rtl/>
          <w:lang w:bidi="fa-IR"/>
        </w:rPr>
        <w:t xml:space="preserve"> مانند انگلستان، ایالات متحده آمریکا، کاناد</w:t>
      </w:r>
      <w:r w:rsidR="000137D6">
        <w:rPr>
          <w:rFonts w:hint="cs"/>
          <w:rtl/>
          <w:lang w:bidi="fa-IR"/>
        </w:rPr>
        <w:t xml:space="preserve">ا و ایرلند شمالی اصطلاحی معادل </w:t>
      </w:r>
      <w:r w:rsidR="002C488B">
        <w:rPr>
          <w:rFonts w:hint="cs"/>
          <w:rtl/>
          <w:lang w:bidi="fa-IR"/>
        </w:rPr>
        <w:t>خط‌مشیء</w:t>
      </w:r>
      <w:r w:rsidRPr="002527C7">
        <w:rPr>
          <w:rFonts w:hint="cs"/>
          <w:rtl/>
          <w:lang w:bidi="fa-IR"/>
        </w:rPr>
        <w:t xml:space="preserve"> عمومی</w:t>
      </w:r>
      <w:r w:rsidRPr="002527C7">
        <w:rPr>
          <w:vertAlign w:val="superscript"/>
          <w:rtl/>
          <w:lang w:bidi="fa-IR"/>
        </w:rPr>
        <w:footnoteReference w:id="59"/>
      </w:r>
      <w:r w:rsidRPr="002527C7">
        <w:rPr>
          <w:rFonts w:hint="cs"/>
          <w:rtl/>
          <w:lang w:bidi="fa-IR"/>
        </w:rPr>
        <w:t xml:space="preserve"> را به جای نظم عمومی </w:t>
      </w:r>
      <w:r w:rsidRPr="002527C7">
        <w:rPr>
          <w:rFonts w:hint="cs"/>
          <w:rtl/>
          <w:lang w:bidi="fa-IR"/>
        </w:rPr>
        <w:lastRenderedPageBreak/>
        <w:t>بکار می</w:t>
      </w:r>
      <w:r w:rsidR="000137D6">
        <w:rPr>
          <w:rFonts w:hint="cs"/>
          <w:rtl/>
          <w:lang w:bidi="fa-IR"/>
        </w:rPr>
        <w:t>‌</w:t>
      </w:r>
      <w:r w:rsidRPr="002527C7">
        <w:rPr>
          <w:rFonts w:hint="cs"/>
          <w:rtl/>
          <w:lang w:bidi="fa-IR"/>
        </w:rPr>
        <w:t>برند، که نخستین بار در سال 1750 میلادی توسط لرد هاردویک به کار رفته است.</w:t>
      </w:r>
      <w:r w:rsidRPr="002527C7">
        <w:rPr>
          <w:vertAlign w:val="superscript"/>
          <w:rtl/>
          <w:lang w:bidi="fa-IR"/>
        </w:rPr>
        <w:footnoteReference w:id="60"/>
      </w:r>
    </w:p>
    <w:p w:rsidR="002527C7" w:rsidRPr="002527C7" w:rsidRDefault="002527C7" w:rsidP="004C2DA3">
      <w:pPr>
        <w:bidi/>
        <w:spacing w:before="240"/>
        <w:ind w:firstLine="360"/>
        <w:jc w:val="mediumKashida"/>
        <w:rPr>
          <w:rtl/>
          <w:lang w:bidi="fa-IR"/>
        </w:rPr>
      </w:pPr>
      <w:r w:rsidRPr="002527C7">
        <w:rPr>
          <w:rFonts w:hint="cs"/>
          <w:rtl/>
          <w:lang w:bidi="fa-IR"/>
        </w:rPr>
        <w:t>در خصوص تعریف نظم عمومی اتفاق نظری بین اندیشمندان حقوقی ملاحظه نمی‌شود. مفهوم نظم عمومی از جمله مفاهیمی است که تعریف آن به لحاظ منطقی، دارای اوصاف سهل و ممتنع است.</w:t>
      </w:r>
      <w:r w:rsidRPr="002527C7">
        <w:rPr>
          <w:vertAlign w:val="superscript"/>
          <w:rtl/>
          <w:lang w:bidi="fa-IR"/>
        </w:rPr>
        <w:footnoteReference w:id="61"/>
      </w:r>
    </w:p>
    <w:p w:rsidR="002527C7" w:rsidRPr="002527C7" w:rsidRDefault="002527C7" w:rsidP="004C2DA3">
      <w:pPr>
        <w:bidi/>
        <w:spacing w:before="240"/>
        <w:ind w:firstLine="360"/>
        <w:jc w:val="mediumKashida"/>
        <w:rPr>
          <w:rtl/>
          <w:lang w:bidi="fa-IR"/>
        </w:rPr>
      </w:pPr>
      <w:r w:rsidRPr="002527C7">
        <w:rPr>
          <w:rFonts w:hint="cs"/>
          <w:rtl/>
          <w:lang w:bidi="fa-IR"/>
        </w:rPr>
        <w:t xml:space="preserve">در باب قابلیت تعریف نظم عمومی سه نظریه مطرح گردیده است. عده‌ای معتقدند نظم عمومی نمی‌تواند تحت فرمول کلی و واحد تعریف شود و در همه </w:t>
      </w:r>
      <w:r w:rsidR="00914F16">
        <w:rPr>
          <w:rFonts w:hint="cs"/>
          <w:rtl/>
          <w:lang w:bidi="fa-IR"/>
        </w:rPr>
        <w:t xml:space="preserve">جا و همه </w:t>
      </w:r>
      <w:r w:rsidRPr="002527C7">
        <w:rPr>
          <w:rFonts w:hint="cs"/>
          <w:rtl/>
          <w:lang w:bidi="fa-IR"/>
        </w:rPr>
        <w:t>موارد کاربرد داشته باشد. به تعبیر دیگر اصولاً نمی‌توان تعریف جامع و مانعی از نظم عمومی ارائه کرد و این امر ناشی از طبیعت آن است. اما گروه دیگری اعتقاد دارند که این مفهوم ضمن آن‌که قابل تعریف است، می‌تواند در گستره علم حقوق تسری داشته باشد. برخی دیگر از حقوقدانان این مفهوم را برخوردار از ابهام دانسته، تعریف آن را دشوار می‌دانند.</w:t>
      </w:r>
      <w:r w:rsidRPr="002527C7">
        <w:rPr>
          <w:vertAlign w:val="superscript"/>
          <w:rtl/>
          <w:lang w:bidi="fa-IR"/>
        </w:rPr>
        <w:footnoteReference w:id="62"/>
      </w:r>
    </w:p>
    <w:p w:rsidR="002527C7" w:rsidRPr="002527C7" w:rsidRDefault="002527C7" w:rsidP="004C2DA3">
      <w:pPr>
        <w:bidi/>
        <w:spacing w:before="240"/>
        <w:ind w:firstLine="360"/>
        <w:jc w:val="mediumKashida"/>
        <w:rPr>
          <w:rtl/>
          <w:lang w:bidi="fa-IR"/>
        </w:rPr>
      </w:pPr>
      <w:r w:rsidRPr="002527C7">
        <w:rPr>
          <w:rFonts w:hint="cs"/>
          <w:rtl/>
          <w:lang w:bidi="fa-IR"/>
        </w:rPr>
        <w:t>ادله</w:t>
      </w:r>
      <w:r w:rsidR="00201317">
        <w:rPr>
          <w:rFonts w:hint="cs"/>
          <w:rtl/>
          <w:lang w:bidi="fa-IR"/>
        </w:rPr>
        <w:t>‌</w:t>
      </w:r>
      <w:r w:rsidRPr="002527C7">
        <w:rPr>
          <w:rFonts w:hint="cs"/>
          <w:rtl/>
          <w:lang w:bidi="fa-IR"/>
        </w:rPr>
        <w:t>ای که موافقان ارائه تعریف نظم عمومی بیان می‌دارند، به قرار زیر است:</w:t>
      </w:r>
    </w:p>
    <w:p w:rsidR="002527C7" w:rsidRPr="00021023" w:rsidRDefault="00021023" w:rsidP="004C2DA3">
      <w:pPr>
        <w:bidi/>
        <w:spacing w:before="240"/>
        <w:ind w:firstLine="360"/>
        <w:jc w:val="mediumKashida"/>
        <w:rPr>
          <w:rtl/>
          <w:lang w:bidi="fa-IR"/>
        </w:rPr>
      </w:pPr>
      <w:r>
        <w:rPr>
          <w:rFonts w:hint="cs"/>
          <w:rtl/>
          <w:lang w:bidi="fa-IR"/>
        </w:rPr>
        <w:t>1</w:t>
      </w:r>
      <w:r w:rsidR="00054982" w:rsidRPr="00021023">
        <w:rPr>
          <w:rFonts w:hint="cs"/>
          <w:rtl/>
          <w:lang w:bidi="fa-IR"/>
        </w:rPr>
        <w:t xml:space="preserve">- </w:t>
      </w:r>
      <w:r w:rsidR="002527C7" w:rsidRPr="00021023">
        <w:rPr>
          <w:rFonts w:hint="cs"/>
          <w:rtl/>
          <w:lang w:bidi="fa-IR"/>
        </w:rPr>
        <w:t>لزوم</w:t>
      </w:r>
      <w:r w:rsidR="00664032" w:rsidRPr="00021023">
        <w:rPr>
          <w:rFonts w:hint="cs"/>
          <w:rtl/>
          <w:lang w:bidi="fa-IR"/>
        </w:rPr>
        <w:t xml:space="preserve"> ارائه تعریف نظم عمومی: نه‌تنها</w:t>
      </w:r>
      <w:r w:rsidR="002527C7" w:rsidRPr="00021023">
        <w:rPr>
          <w:rFonts w:hint="cs"/>
          <w:rtl/>
          <w:lang w:bidi="fa-IR"/>
        </w:rPr>
        <w:t xml:space="preserve"> نظم عمومی از لحاظ علمی قابل تعریف است، بلکه ضرورت هم دارد؛ زیرا چگونه می‌توان سرنوشت تمام روابط و قراردادهای اشخاص را به دست قاضی سپرد</w:t>
      </w:r>
      <w:r w:rsidR="002527C7" w:rsidRPr="00021023">
        <w:rPr>
          <w:lang w:bidi="fa-IR"/>
        </w:rPr>
        <w:t>.</w:t>
      </w:r>
      <w:r w:rsidR="002527C7" w:rsidRPr="002527C7">
        <w:rPr>
          <w:vertAlign w:val="superscript"/>
          <w:rtl/>
          <w:lang w:bidi="fa-IR"/>
        </w:rPr>
        <w:footnoteReference w:id="63"/>
      </w:r>
      <w:r w:rsidR="002527C7" w:rsidRPr="00021023">
        <w:rPr>
          <w:rFonts w:hint="cs"/>
          <w:rtl/>
          <w:lang w:bidi="fa-IR"/>
        </w:rPr>
        <w:t xml:space="preserve"> بدین لحاظ، اساس قضاوت قاضی، </w:t>
      </w:r>
      <w:r w:rsidR="002527C7" w:rsidRPr="00021023">
        <w:rPr>
          <w:rFonts w:hint="cs"/>
          <w:rtl/>
          <w:lang w:bidi="fa-IR"/>
        </w:rPr>
        <w:lastRenderedPageBreak/>
        <w:t>دایره اصالت یا بطلان عمل حقوقی فرد را مشخص می‌کند و این امر با گزاره‌های دفاع از اصل حاکمیت و آزادی قراردادها در تضاد است. بدین جهت تعیین حدود این مفهوم با ارائه‌ی تعریف از آن امکان‌پذیر است.</w:t>
      </w:r>
      <w:r w:rsidR="002527C7" w:rsidRPr="002527C7">
        <w:rPr>
          <w:vertAlign w:val="superscript"/>
          <w:rtl/>
          <w:lang w:bidi="fa-IR"/>
        </w:rPr>
        <w:footnoteReference w:id="64"/>
      </w:r>
    </w:p>
    <w:p w:rsidR="002527C7" w:rsidRPr="00021023" w:rsidRDefault="00021023" w:rsidP="004C2DA3">
      <w:pPr>
        <w:bidi/>
        <w:spacing w:before="240"/>
        <w:ind w:firstLine="360"/>
        <w:jc w:val="mediumKashida"/>
        <w:rPr>
          <w:rtl/>
          <w:lang w:bidi="fa-IR"/>
        </w:rPr>
      </w:pPr>
      <w:r>
        <w:rPr>
          <w:rFonts w:hint="cs"/>
          <w:rtl/>
          <w:lang w:bidi="fa-IR"/>
        </w:rPr>
        <w:t>2</w:t>
      </w:r>
      <w:r w:rsidR="00054982" w:rsidRPr="00021023">
        <w:rPr>
          <w:rFonts w:hint="cs"/>
          <w:rtl/>
          <w:lang w:bidi="fa-IR"/>
        </w:rPr>
        <w:t xml:space="preserve">- </w:t>
      </w:r>
      <w:r w:rsidR="002527C7" w:rsidRPr="00021023">
        <w:rPr>
          <w:rFonts w:hint="cs"/>
          <w:rtl/>
          <w:lang w:bidi="fa-IR"/>
        </w:rPr>
        <w:t>قائلان به نظم تکوینی: برخی از حقوقدانان</w:t>
      </w:r>
      <w:r w:rsidR="002527C7" w:rsidRPr="002527C7">
        <w:rPr>
          <w:vertAlign w:val="superscript"/>
          <w:rtl/>
          <w:lang w:bidi="fa-IR"/>
        </w:rPr>
        <w:footnoteReference w:id="65"/>
      </w:r>
      <w:r w:rsidR="002527C7" w:rsidRPr="00021023">
        <w:rPr>
          <w:rFonts w:hint="cs"/>
          <w:rtl/>
          <w:lang w:bidi="fa-IR"/>
        </w:rPr>
        <w:t xml:space="preserve"> در تشریح این نظریه گفته‌اند: نظم عمومی نتیجه ارتباطات طبیعی اشیاء و اعضای جامعه بوده، مانند امور تکوینی در جهان مادی است. از این‌رو نظم عمومی مخلوق حقوق نیست بلکه موجد آن است. این امر از اصول حقوق طبیعی است که در نتیجه ارتباطات بشری به وجود آمده و به مثابه امور تکوینی در جامعه انسانی است. بدیهی است که حقوق چنین نظمی را به وجود نیاورده، بلکه این نظم رأساً در عالم خارج وجود داشته و حقوق صرفاً قواعد مادی و خارجی آن را برای انضباط‌بخشی به جریان جامعه نهادینه می‌کند و اعلام می‌دارد. از این نظریه که به حقوق طبیعی نزدیک است به عنوان نظریه نوعی یاد می‌کنند. کاپیتان</w:t>
      </w:r>
      <w:r w:rsidR="002527C7" w:rsidRPr="002527C7">
        <w:rPr>
          <w:vertAlign w:val="superscript"/>
          <w:rtl/>
          <w:lang w:bidi="fa-IR"/>
        </w:rPr>
        <w:footnoteReference w:id="66"/>
      </w:r>
      <w:r w:rsidR="002527C7" w:rsidRPr="00021023">
        <w:rPr>
          <w:rFonts w:hint="cs"/>
          <w:rtl/>
          <w:lang w:bidi="fa-IR"/>
        </w:rPr>
        <w:t xml:space="preserve"> در این‌باره می‌گوید: نظم عمومی، یعنی نظم در دولت. یعنی این نظم ترتیباتی است که برای تأسیسات و قواعدی که برای اجرای وظایف دولت ضروری است، شکل می‌گیرد. کلمه نظم عمومی نشان‌دهنده فکر یک وضع منطقی و نظامی است که به دستگاه اجتماعی وحدت و روح می‌بخشد. به این علت به طور طبیعی نظم عمومی قوانین مدنی باید استثناء باشند؛ زیرا حقوق مدنی، مربوط به روابط خصوصی است و به‌جز در مواردی که آزادی فردی موجب بروز اغتشاش و خطر برای نظام وامنیت عمومی باشد، محدود نمی‌گردد. بنابراین، نظم </w:t>
      </w:r>
      <w:r w:rsidR="002527C7" w:rsidRPr="00021023">
        <w:rPr>
          <w:rFonts w:hint="cs"/>
          <w:rtl/>
          <w:lang w:bidi="fa-IR"/>
        </w:rPr>
        <w:lastRenderedPageBreak/>
        <w:t>عمومی به وجود نظام اجتماعی و تفکر فلسفی آن وابسته بوده، از مبانی فکری نظام اجتماعی سرچشمه می‌گیرد. به بیانی دیگر، ارائه تعریف برای این نظم (مادی و خارجی) از وظایف حقوق به‌شمار می‌آید.</w:t>
      </w:r>
      <w:r w:rsidR="002527C7" w:rsidRPr="002527C7">
        <w:rPr>
          <w:vertAlign w:val="superscript"/>
          <w:rtl/>
          <w:lang w:bidi="fa-IR"/>
        </w:rPr>
        <w:footnoteReference w:id="67"/>
      </w:r>
      <w:r w:rsidR="002527C7" w:rsidRPr="00021023">
        <w:rPr>
          <w:rFonts w:hint="cs"/>
          <w:rtl/>
          <w:lang w:bidi="fa-IR"/>
        </w:rPr>
        <w:t xml:space="preserve"> در بین حقوقدانان غربی، کاپیتان، دوما، مالوری</w:t>
      </w:r>
      <w:r w:rsidR="002527C7" w:rsidRPr="002527C7">
        <w:rPr>
          <w:vertAlign w:val="superscript"/>
          <w:rtl/>
          <w:lang w:bidi="fa-IR"/>
        </w:rPr>
        <w:footnoteReference w:id="68"/>
      </w:r>
      <w:r w:rsidR="002527C7" w:rsidRPr="00021023">
        <w:rPr>
          <w:rFonts w:hint="cs"/>
          <w:rtl/>
          <w:lang w:bidi="fa-IR"/>
        </w:rPr>
        <w:t xml:space="preserve"> از طرفداران مشهور نظریه نوعی به‌شمار می‌آیند.</w:t>
      </w:r>
      <w:r w:rsidR="002527C7" w:rsidRPr="002527C7">
        <w:rPr>
          <w:vertAlign w:val="superscript"/>
          <w:rtl/>
          <w:lang w:bidi="fa-IR"/>
        </w:rPr>
        <w:footnoteReference w:id="69"/>
      </w:r>
    </w:p>
    <w:p w:rsidR="002527C7" w:rsidRPr="00021023" w:rsidRDefault="00021023" w:rsidP="004C2DA3">
      <w:pPr>
        <w:bidi/>
        <w:spacing w:before="240"/>
        <w:ind w:firstLine="360"/>
        <w:jc w:val="mediumKashida"/>
        <w:rPr>
          <w:rtl/>
          <w:lang w:bidi="fa-IR"/>
        </w:rPr>
      </w:pPr>
      <w:r>
        <w:rPr>
          <w:rFonts w:hint="cs"/>
          <w:rtl/>
          <w:lang w:bidi="fa-IR"/>
        </w:rPr>
        <w:t>3</w:t>
      </w:r>
      <w:r w:rsidR="001E7C94" w:rsidRPr="00021023">
        <w:rPr>
          <w:rFonts w:hint="cs"/>
          <w:rtl/>
          <w:lang w:bidi="fa-IR"/>
        </w:rPr>
        <w:t xml:space="preserve">- </w:t>
      </w:r>
      <w:r w:rsidR="002527C7" w:rsidRPr="00021023">
        <w:rPr>
          <w:rFonts w:hint="cs"/>
          <w:rtl/>
          <w:lang w:bidi="fa-IR"/>
        </w:rPr>
        <w:t>قائلان به نظم تشریعی: گروهی دیگر از حقوقدانان با قبول لزوم ارائه تعریف، قائل به این هستند که نظم عمومی ناظر بر تمام اصول کلی علم حقوق است که آفریننده و حافظ نظم اجتماعی، سیاسی، اقتصادی، اندیشه و آزادی‌های فردی محسوب می‌شود. از این‌رو، تعریف آن ضرورت دارد؛ به نحوی که اگر آن اصول و افکار از بین روند، دیگر برای نظم عمومی مصادیقی وجود نخواهد داشت. از این نظریه به عنوان نظریه شخصی (معنوی یا نظم اخلاقی) نیز یاد می‌کنند که گویای توجه به ابعاد مترتب بر لزوم ارائه تعریف از این مفهوم است.</w:t>
      </w:r>
      <w:r w:rsidR="002527C7" w:rsidRPr="002527C7">
        <w:rPr>
          <w:vertAlign w:val="superscript"/>
          <w:rtl/>
          <w:lang w:bidi="fa-IR"/>
        </w:rPr>
        <w:footnoteReference w:id="70"/>
      </w:r>
      <w:r w:rsidR="002527C7" w:rsidRPr="00021023">
        <w:rPr>
          <w:rFonts w:hint="cs"/>
          <w:rtl/>
          <w:lang w:bidi="fa-IR"/>
        </w:rPr>
        <w:t xml:space="preserve"> طرفداران نظریه مذکور که بیشتر به مکتب اصالت فرد گرایش دارند، معتقدند نظم عمومی آن نظم مادی یا طبیعی که در طبیعت یا جامعه وجود دارد، نیست، بلکه نظام اعتباری ناشی از قواعد و مقررات حقوق موضوعه است که وابسته به یک سلسله اصول و احکام راجع به هیئت اجتماعی است، به نحوی که اگر آن اصول و افکار از بین بروند، دیگر مصداقی برای نظم عمومی وجود نخواهد داشت. بر این اساس، نظم عمومی با تحول مقررات حقوقی متحول می‌شود و به این علت از لحاظ زمان و مکان، یک امر نسبی </w:t>
      </w:r>
      <w:r w:rsidR="002527C7" w:rsidRPr="00021023">
        <w:rPr>
          <w:rFonts w:hint="cs"/>
          <w:rtl/>
          <w:lang w:bidi="fa-IR"/>
        </w:rPr>
        <w:lastRenderedPageBreak/>
        <w:t>بوده، به اعتبار کم و کیف تأسیسات حقوقی هر جامعه و در هر زمان، مصادیق آن متغیر خواهد بود.</w:t>
      </w:r>
      <w:r w:rsidR="002527C7" w:rsidRPr="00813851">
        <w:rPr>
          <w:vertAlign w:val="superscript"/>
          <w:rtl/>
          <w:lang w:bidi="fa-IR"/>
        </w:rPr>
        <w:footnoteReference w:id="71"/>
      </w:r>
    </w:p>
    <w:p w:rsidR="002527C7" w:rsidRPr="002527C7" w:rsidRDefault="002527C7" w:rsidP="004C2DA3">
      <w:pPr>
        <w:bidi/>
        <w:spacing w:before="240"/>
        <w:ind w:firstLine="360"/>
        <w:jc w:val="mediumKashida"/>
        <w:rPr>
          <w:rtl/>
          <w:lang w:bidi="fa-IR"/>
        </w:rPr>
      </w:pPr>
      <w:r w:rsidRPr="002527C7">
        <w:rPr>
          <w:rFonts w:hint="cs"/>
          <w:rtl/>
          <w:lang w:bidi="fa-IR"/>
        </w:rPr>
        <w:t>اساساً نظم عمومی با دو چهره جلوه‌گر است؛ با یک چهره حالت نوعی و طبیعی و با چهره دیگر حالت شخصی و تأسیسی خود را نمایان می‌سازد. نظم طبیعی، مایه و پایه واقعی نظم تأسیسی است. بدین ترتیب ملاحظه می‌شود که قلمرو نظم عمومی وسیع تر از آن چیزی است که در حقوق وجود دارد. به همین مناسبت، مفهوم مذکور را باید یک مفهوم فوق حقوق دانست؛ یعنی مفهومی که اصولاً تابع حقوق نیست، بلکه ناظر بر اجرای حقوق بوده، نگاهبان حسن جریان مقررات حقوقی است.</w:t>
      </w:r>
      <w:r w:rsidRPr="002527C7">
        <w:rPr>
          <w:vertAlign w:val="superscript"/>
          <w:rtl/>
          <w:lang w:bidi="fa-IR"/>
        </w:rPr>
        <w:footnoteReference w:id="72"/>
      </w:r>
    </w:p>
    <w:p w:rsidR="002527C7" w:rsidRPr="00021023" w:rsidRDefault="00021023" w:rsidP="004C2DA3">
      <w:pPr>
        <w:bidi/>
        <w:spacing w:before="240"/>
        <w:ind w:firstLine="360"/>
        <w:jc w:val="mediumKashida"/>
        <w:rPr>
          <w:rtl/>
          <w:lang w:bidi="fa-IR"/>
        </w:rPr>
      </w:pPr>
      <w:r>
        <w:rPr>
          <w:rFonts w:hint="cs"/>
          <w:rtl/>
          <w:lang w:bidi="fa-IR"/>
        </w:rPr>
        <w:t>4</w:t>
      </w:r>
      <w:r w:rsidR="001E7C94" w:rsidRPr="00021023">
        <w:rPr>
          <w:rFonts w:hint="cs"/>
          <w:rtl/>
          <w:lang w:bidi="fa-IR"/>
        </w:rPr>
        <w:t>-</w:t>
      </w:r>
      <w:r w:rsidR="00813851" w:rsidRPr="00021023">
        <w:rPr>
          <w:rFonts w:hint="cs"/>
          <w:rtl/>
          <w:lang w:bidi="fa-IR"/>
        </w:rPr>
        <w:t xml:space="preserve"> </w:t>
      </w:r>
      <w:r w:rsidR="002527C7" w:rsidRPr="00021023">
        <w:rPr>
          <w:rFonts w:hint="cs"/>
          <w:rtl/>
          <w:lang w:bidi="fa-IR"/>
        </w:rPr>
        <w:t>ارائه تعریف منطقی کلی: به اعتقاد برخی نویسندگان غربی</w:t>
      </w:r>
      <w:r w:rsidR="002527C7" w:rsidRPr="002527C7">
        <w:rPr>
          <w:vertAlign w:val="superscript"/>
          <w:rtl/>
          <w:lang w:bidi="fa-IR"/>
        </w:rPr>
        <w:footnoteReference w:id="73"/>
      </w:r>
      <w:r w:rsidR="002527C7" w:rsidRPr="00021023">
        <w:rPr>
          <w:lang w:bidi="fa-IR"/>
        </w:rPr>
        <w:t xml:space="preserve"> </w:t>
      </w:r>
      <w:r w:rsidR="002527C7" w:rsidRPr="00021023">
        <w:rPr>
          <w:rFonts w:hint="cs"/>
          <w:rtl/>
          <w:lang w:bidi="fa-IR"/>
        </w:rPr>
        <w:t>در عالم حقوق لازم نیست که تعاریف ارائه شده، شرایط تام و مطلق یک تعریف منطقی را واجد باشد. همین که یک تعریف بتواند ابعادی از مقوله را روشن سازد، به دریافت و تشخیص موضوع و فهم و آن کمک می‌کند. در علوم انسانی، آن‌چه مهم تلقی ‌می‌گردد، این است که تعاریف، کارایی خاصی برای فهم هر علم به دست می‌دهند؛ کما این‌که در مواقع دیگر، به‌خصوص در علم حقوق برای موضوعات متنوع حقوقی این‌گونه عمل می‌گردد.</w:t>
      </w:r>
    </w:p>
    <w:p w:rsidR="002527C7" w:rsidRPr="00021023" w:rsidRDefault="00021023" w:rsidP="004C2DA3">
      <w:pPr>
        <w:bidi/>
        <w:spacing w:before="240"/>
        <w:ind w:firstLine="360"/>
        <w:jc w:val="mediumKashida"/>
        <w:rPr>
          <w:rtl/>
          <w:lang w:bidi="fa-IR"/>
        </w:rPr>
      </w:pPr>
      <w:r>
        <w:rPr>
          <w:rFonts w:hint="cs"/>
          <w:rtl/>
          <w:lang w:bidi="fa-IR"/>
        </w:rPr>
        <w:t>5</w:t>
      </w:r>
      <w:r w:rsidR="001E7C94" w:rsidRPr="00021023">
        <w:rPr>
          <w:rFonts w:hint="cs"/>
          <w:rtl/>
          <w:lang w:bidi="fa-IR"/>
        </w:rPr>
        <w:t xml:space="preserve">- </w:t>
      </w:r>
      <w:r w:rsidR="002527C7" w:rsidRPr="00021023">
        <w:rPr>
          <w:rFonts w:hint="cs"/>
          <w:rtl/>
          <w:lang w:bidi="fa-IR"/>
        </w:rPr>
        <w:t xml:space="preserve">به دست دادن یک معیار و ضابطه: درتعریف یک ماهیت حقوقی، آن‌چه مهم تلقی می‌گردد، به دست دادن یک معیار و ضابطه تشخیص است، نه جامع و مانع بودن آن. به این دلیل، چنانچه یک تعریف، مشتمل بر ارائه معیارهای لازم باشد، کافی </w:t>
      </w:r>
      <w:r w:rsidR="002527C7" w:rsidRPr="00021023">
        <w:rPr>
          <w:rFonts w:hint="cs"/>
          <w:rtl/>
          <w:lang w:bidi="fa-IR"/>
        </w:rPr>
        <w:lastRenderedPageBreak/>
        <w:t>است و دیگر نیازی به فراگیری آن نیست. بر این مبنا، نظم عمومی نیز نیازمند چنین اقدامی است</w:t>
      </w:r>
      <w:r w:rsidR="002527C7" w:rsidRPr="002527C7">
        <w:rPr>
          <w:vertAlign w:val="superscript"/>
          <w:rtl/>
          <w:lang w:bidi="fa-IR"/>
        </w:rPr>
        <w:footnoteReference w:id="74"/>
      </w:r>
      <w:r w:rsidR="002527C7" w:rsidRPr="00021023">
        <w:rPr>
          <w:lang w:bidi="fa-IR"/>
        </w:rPr>
        <w:t>.</w:t>
      </w:r>
      <w:r w:rsidR="002527C7" w:rsidRPr="00021023">
        <w:rPr>
          <w:rFonts w:hint="cs"/>
          <w:rtl/>
          <w:lang w:bidi="fa-IR"/>
        </w:rPr>
        <w:t xml:space="preserve"> برخی از حقوقدانان انگلیسی</w:t>
      </w:r>
      <w:r w:rsidR="00733194" w:rsidRPr="00021023">
        <w:rPr>
          <w:rFonts w:hint="cs"/>
          <w:rtl/>
          <w:lang w:bidi="fa-IR"/>
        </w:rPr>
        <w:t xml:space="preserve"> نیز</w:t>
      </w:r>
      <w:r w:rsidR="002527C7" w:rsidRPr="00021023">
        <w:rPr>
          <w:rFonts w:hint="cs"/>
          <w:rtl/>
          <w:lang w:bidi="fa-IR"/>
        </w:rPr>
        <w:t xml:space="preserve">، اگر چه به دست آوردن معیار </w:t>
      </w:r>
      <w:r w:rsidR="00733194" w:rsidRPr="00021023">
        <w:rPr>
          <w:rFonts w:hint="cs"/>
          <w:rtl/>
          <w:lang w:bidi="fa-IR"/>
        </w:rPr>
        <w:t>برای تشخیص قراردادهای مخالف با نظم عمومی</w:t>
      </w:r>
      <w:r w:rsidR="002527C7" w:rsidRPr="00021023">
        <w:rPr>
          <w:rFonts w:hint="cs"/>
          <w:rtl/>
          <w:lang w:bidi="fa-IR"/>
        </w:rPr>
        <w:t xml:space="preserve"> را به دلیل تغییر عوامل گوناگون اقتصادی، اجتماعی و حتی فرهنگی، مشکل دانسته و اجازه تأسیس یک ملاک کلی را نداده‌اند، ولی اذعان داشته‌اند که این امر نباید به معنای نفی مطلق تعیین ضابطه تشخیص برای موارد مغایر نظم عمومی محسوب ‌گردد.</w:t>
      </w:r>
      <w:r w:rsidR="002527C7" w:rsidRPr="002527C7">
        <w:rPr>
          <w:vertAlign w:val="superscript"/>
          <w:rtl/>
          <w:lang w:bidi="fa-IR"/>
        </w:rPr>
        <w:footnoteReference w:id="75"/>
      </w:r>
      <w:r w:rsidR="002527C7" w:rsidRPr="00021023">
        <w:rPr>
          <w:rFonts w:hint="cs"/>
          <w:rtl/>
          <w:lang w:bidi="fa-IR"/>
        </w:rPr>
        <w:t xml:space="preserve"> به لحاظ آن‌که این مفهوم، دادگاه‌های انگلیس را قادر خواهد ساخت تا هر نوع قراردادی را بی‌اعتبار اعلام کنند، مخالف</w:t>
      </w:r>
      <w:r w:rsidR="00A46FD4">
        <w:rPr>
          <w:rFonts w:hint="cs"/>
          <w:rtl/>
          <w:lang w:bidi="fa-IR"/>
        </w:rPr>
        <w:t>ان خط‌مشیء</w:t>
      </w:r>
      <w:r w:rsidR="002527C7" w:rsidRPr="00021023">
        <w:rPr>
          <w:rFonts w:hint="cs"/>
          <w:rtl/>
          <w:lang w:bidi="fa-IR"/>
        </w:rPr>
        <w:t xml:space="preserve"> عمومی ناگزیر نسبت به ارائه تعریفی مناسب از این مفهوم، واکنش صحیحی نشان داده و تعاریفی را مطلوب می‌دانند که دایره شمول مناسبی را ارائه می‌دهد.</w:t>
      </w:r>
      <w:r w:rsidR="002527C7" w:rsidRPr="002527C7">
        <w:rPr>
          <w:vertAlign w:val="superscript"/>
          <w:rtl/>
          <w:lang w:bidi="fa-IR"/>
        </w:rPr>
        <w:footnoteReference w:id="76"/>
      </w:r>
    </w:p>
    <w:p w:rsidR="00021023" w:rsidRDefault="002527C7" w:rsidP="004C2DA3">
      <w:pPr>
        <w:bidi/>
        <w:spacing w:before="240"/>
        <w:ind w:firstLine="360"/>
        <w:jc w:val="mediumKashida"/>
        <w:rPr>
          <w:rtl/>
          <w:lang w:bidi="fa-IR"/>
        </w:rPr>
      </w:pPr>
      <w:r w:rsidRPr="002527C7">
        <w:rPr>
          <w:rFonts w:hint="cs"/>
          <w:rtl/>
          <w:lang w:bidi="fa-IR"/>
        </w:rPr>
        <w:t>غالب آن‌چه که در سطور بالا در رابطه با نظم عمومی و فلسفه</w:t>
      </w:r>
      <w:r w:rsidRPr="002527C7">
        <w:rPr>
          <w:rtl/>
          <w:lang w:bidi="fa-IR"/>
        </w:rPr>
        <w:softHyphen/>
      </w:r>
      <w:r w:rsidRPr="002527C7">
        <w:rPr>
          <w:rFonts w:hint="cs"/>
          <w:rtl/>
          <w:lang w:bidi="fa-IR"/>
        </w:rPr>
        <w:t>ی آن بیان شده، صحیح است، امّا کامل نیست. اصولاً حقوق خود برای برقراری و حفظ نظم عمومی جامعه شکل گرفته است و رسالت قوانین چیزی جز این نیست. امّا این دلایل توجیهی مناسب برای محدود کردن معیار نظم عمومی پیش‌بینی شده در قوانین نخواهد بود. به این توضیح که قانونگذار در مقام وضع قوانین تمام تلاش خود را به کار بست تا در حراست از این نظم بکوشد، اما به عدم تکامل خود در پیش‌بینی همه وقایع و اعمال واقف بوده است. لذا با پیش‌بینی این معیار استثنایی در قوانین به قضات اعتماد کرده، و دست آن‌ها را برای تفسیر باز گذاشته است تا ضعف</w:t>
      </w:r>
      <w:r w:rsidRPr="002527C7">
        <w:rPr>
          <w:rtl/>
          <w:lang w:bidi="fa-IR"/>
        </w:rPr>
        <w:softHyphen/>
      </w:r>
      <w:r w:rsidRPr="002527C7">
        <w:rPr>
          <w:rFonts w:hint="cs"/>
          <w:rtl/>
          <w:lang w:bidi="fa-IR"/>
        </w:rPr>
        <w:t xml:space="preserve">های احتمالی قوانین و مقررات را جبران کند. ناگفته پیداست که با توجّه به نصوصی </w:t>
      </w:r>
      <w:r w:rsidRPr="002527C7">
        <w:rPr>
          <w:rFonts w:hint="cs"/>
          <w:rtl/>
          <w:lang w:bidi="fa-IR"/>
        </w:rPr>
        <w:lastRenderedPageBreak/>
        <w:t>مانند: "... مفاد این اصل مانع از تفسیری که دادرسان در مقام تمیز حق، از قوانین می</w:t>
      </w:r>
      <w:r w:rsidRPr="002527C7">
        <w:rPr>
          <w:rtl/>
          <w:lang w:bidi="fa-IR"/>
        </w:rPr>
        <w:softHyphen/>
      </w:r>
      <w:r w:rsidRPr="002527C7">
        <w:rPr>
          <w:rFonts w:hint="cs"/>
          <w:rtl/>
          <w:lang w:bidi="fa-IR"/>
        </w:rPr>
        <w:t>کنند، نیست."</w:t>
      </w:r>
      <w:r w:rsidR="00021023">
        <w:rPr>
          <w:rFonts w:hint="cs"/>
          <w:rtl/>
          <w:lang w:bidi="fa-IR"/>
        </w:rPr>
        <w:t xml:space="preserve"> </w:t>
      </w:r>
      <w:r w:rsidRPr="002527C7">
        <w:rPr>
          <w:rFonts w:hint="cs"/>
          <w:rtl/>
          <w:lang w:bidi="fa-IR"/>
        </w:rPr>
        <w:t xml:space="preserve">(اصل 73 قانون اساسی جمهوری اسلامی ایران)، در قوانین کشورها، این میزان از اعتماد قانونگذار به قضات منحصر به فرد نبوده و اصولاً پذیرفته شده است که قاضی اختیار تفسیر را دارا باشد. مورد دیگر اینکه اساساً قانونگذار باید عاقل فرض شود و هر گونه تفسیر قوانین باید با توجّه به این پیش فرض صورت گیرد. حال اگر قانونگذار نیازی برای این تعریف احساس می‌کرد به عبارتی اگر خود نیاز به محدود کردن مصادیق معیار نظم عمومی را لازم می‌دانست، خود آن را تعریف و مصادیق آن را محدود می‌کرد. اگر چه نام دوما و دیگرانی چون وی که در ادله مخالفان، نامشان با عنوان موافقان تعریف قید شده، باید متذکر شد که استفاده از نام این اشخاص برای تأیید نتیجه‌گیری از پاراگراف مذکور به منظور لزوم تعریف معیار نظم عمومی مندرج در قوانین، چیزی جز مصادره به مطلوب نیست. چراکه این اندیشمندان معتقد به این دیدگاه برای تشریح فلسفه‌ی نظم عمومی بوده‌اند </w:t>
      </w:r>
      <w:r w:rsidRPr="002527C7">
        <w:rPr>
          <w:rFonts w:ascii="Times New Roman" w:hAnsi="Times New Roman" w:cs="Times New Roman" w:hint="cs"/>
          <w:rtl/>
          <w:lang w:bidi="fa-IR"/>
        </w:rPr>
        <w:t>–</w:t>
      </w:r>
      <w:r w:rsidRPr="002527C7">
        <w:rPr>
          <w:rFonts w:hint="cs"/>
          <w:rtl/>
          <w:lang w:bidi="fa-IR"/>
        </w:rPr>
        <w:t xml:space="preserve"> در این‌جا نظم عمومی باید به طور کلی در نظر گرفته شود و نه معیار نظم عمومی مندرج در قوانین که از موانع اجرای احکام داوری تجاری بین‌المللی می‌باشد. منظور همان نظم عمومی موضوع حقوق عمومی است- و نه موافق ادامه‌ی آن‌چه در ادامه پاراگراف مربوطه، برای لزوم ارئه تعریف آورده شد. به عبارتی نمی‌توان از فلسفه‌ی نظم عمومی برای تأیید لزوم تعریف معیار نظم عمومی استفاده کرد، چه بسا که حتّی می‌توان از این موضوع برای تأیید لزوم عدم تعریف آن استفاده نمود.</w:t>
      </w:r>
    </w:p>
    <w:p w:rsidR="002527C7" w:rsidRPr="002527C7" w:rsidRDefault="002527C7" w:rsidP="004C2DA3">
      <w:pPr>
        <w:bidi/>
        <w:spacing w:before="240"/>
        <w:ind w:firstLine="360"/>
        <w:jc w:val="mediumKashida"/>
        <w:rPr>
          <w:lang w:bidi="fa-IR"/>
        </w:rPr>
      </w:pPr>
      <w:r w:rsidRPr="002527C7">
        <w:rPr>
          <w:rFonts w:hint="cs"/>
          <w:rtl/>
          <w:lang w:bidi="fa-IR"/>
        </w:rPr>
        <w:t>مخالفان تعریف نظم عمومی نیز دلایل زیر را برای عدم تعریف این مفهوم ارائه می</w:t>
      </w:r>
      <w:r w:rsidRPr="002527C7">
        <w:rPr>
          <w:rtl/>
          <w:lang w:bidi="fa-IR"/>
        </w:rPr>
        <w:softHyphen/>
      </w:r>
      <w:r w:rsidRPr="002527C7">
        <w:rPr>
          <w:rFonts w:hint="cs"/>
          <w:rtl/>
          <w:lang w:bidi="fa-IR"/>
        </w:rPr>
        <w:t>کنند:</w:t>
      </w:r>
    </w:p>
    <w:p w:rsidR="002527C7" w:rsidRPr="00021023" w:rsidRDefault="00021023" w:rsidP="004C2DA3">
      <w:pPr>
        <w:bidi/>
        <w:spacing w:before="240"/>
        <w:ind w:firstLine="360"/>
        <w:jc w:val="mediumKashida"/>
        <w:rPr>
          <w:rtl/>
          <w:lang w:bidi="fa-IR"/>
        </w:rPr>
      </w:pPr>
      <w:r>
        <w:rPr>
          <w:rFonts w:hint="cs"/>
          <w:rtl/>
          <w:lang w:bidi="fa-IR"/>
        </w:rPr>
        <w:lastRenderedPageBreak/>
        <w:t xml:space="preserve">1- </w:t>
      </w:r>
      <w:r w:rsidR="002527C7" w:rsidRPr="00021023">
        <w:rPr>
          <w:rFonts w:hint="cs"/>
          <w:rtl/>
          <w:lang w:bidi="fa-IR"/>
        </w:rPr>
        <w:t>تلاش رویه قضایی در تعیین مصداق؛ برخی معتقدند با توجه به این‌که رویه قضایی طی سالیان متمادی سعی داشته تا مصادیق نظم عمومی را به بحث بگذارد، تلاش برای ارائه یک تعریف از این مفهوم کار بیهوده‌ای تلقی می‌گردد؛ چرا که تعریف برای انطباق با مصداق است که با مشخص شدن مصادیق، دلیلی برای ارائه تعریف وجود نخواهد داشت.</w:t>
      </w:r>
      <w:r w:rsidR="002527C7" w:rsidRPr="002527C7">
        <w:rPr>
          <w:vertAlign w:val="superscript"/>
          <w:rtl/>
          <w:lang w:bidi="fa-IR"/>
        </w:rPr>
        <w:footnoteReference w:id="77"/>
      </w:r>
    </w:p>
    <w:p w:rsidR="002527C7" w:rsidRPr="00021023" w:rsidRDefault="00021023" w:rsidP="004C2DA3">
      <w:pPr>
        <w:bidi/>
        <w:spacing w:before="240"/>
        <w:ind w:firstLine="360"/>
        <w:jc w:val="mediumKashida"/>
        <w:rPr>
          <w:lang w:bidi="fa-IR"/>
        </w:rPr>
      </w:pPr>
      <w:r>
        <w:rPr>
          <w:rFonts w:hint="cs"/>
          <w:rtl/>
          <w:lang w:bidi="fa-IR"/>
        </w:rPr>
        <w:t>2-</w:t>
      </w:r>
      <w:r w:rsidR="00813851" w:rsidRPr="00021023">
        <w:rPr>
          <w:rFonts w:hint="cs"/>
          <w:rtl/>
          <w:lang w:bidi="fa-IR"/>
        </w:rPr>
        <w:t xml:space="preserve"> </w:t>
      </w:r>
      <w:r w:rsidR="002527C7" w:rsidRPr="00021023">
        <w:rPr>
          <w:rFonts w:hint="cs"/>
          <w:rtl/>
          <w:lang w:bidi="fa-IR"/>
        </w:rPr>
        <w:t>عده‌ای دیگر از جمله کاهن</w:t>
      </w:r>
      <w:r w:rsidR="002527C7" w:rsidRPr="002527C7">
        <w:rPr>
          <w:vertAlign w:val="superscript"/>
          <w:rtl/>
          <w:lang w:bidi="fa-IR"/>
        </w:rPr>
        <w:footnoteReference w:id="78"/>
      </w:r>
      <w:r w:rsidR="002527C7" w:rsidRPr="00021023">
        <w:rPr>
          <w:rFonts w:hint="cs"/>
          <w:lang w:bidi="fa-IR"/>
        </w:rPr>
        <w:t xml:space="preserve"> </w:t>
      </w:r>
      <w:r w:rsidR="002527C7" w:rsidRPr="00021023">
        <w:rPr>
          <w:rFonts w:hint="cs"/>
          <w:rtl/>
          <w:lang w:bidi="fa-IR"/>
        </w:rPr>
        <w:t>حقوقدان آمریکایی، اعتقاد دارند که نظم عمومی فاقد بنیان اساسی است. از این‌رو، تشخیص مصداق عمل خارجی با آن از قبل امکان‌پذیر نیست و بایستی شرایط زمان، مکان، اوضاع و احوال هر قضیه را با موضوع بحث بررسی و اعلام کرد. با این وصف، تشخیص مصادیق مغایر از طرف قانونگذار، قبل از تحقق آن‌ها امکان‌پذیر نخواهد بود.</w:t>
      </w:r>
      <w:r w:rsidR="002527C7" w:rsidRPr="002527C7">
        <w:rPr>
          <w:vertAlign w:val="superscript"/>
          <w:rtl/>
          <w:lang w:bidi="fa-IR"/>
        </w:rPr>
        <w:footnoteReference w:id="79"/>
      </w:r>
      <w:r w:rsidR="002527C7" w:rsidRPr="00021023">
        <w:rPr>
          <w:rFonts w:hint="cs"/>
          <w:lang w:bidi="fa-IR"/>
        </w:rPr>
        <w:t xml:space="preserve"> </w:t>
      </w:r>
    </w:p>
    <w:p w:rsidR="002527C7" w:rsidRPr="00021023" w:rsidRDefault="00021023" w:rsidP="004C2DA3">
      <w:pPr>
        <w:bidi/>
        <w:spacing w:before="240"/>
        <w:ind w:firstLine="360"/>
        <w:jc w:val="mediumKashida"/>
        <w:rPr>
          <w:lang w:bidi="fa-IR"/>
        </w:rPr>
      </w:pPr>
      <w:r>
        <w:rPr>
          <w:rFonts w:hint="cs"/>
          <w:rtl/>
          <w:lang w:bidi="fa-IR"/>
        </w:rPr>
        <w:t xml:space="preserve">3- </w:t>
      </w:r>
      <w:r w:rsidR="002527C7" w:rsidRPr="00021023">
        <w:rPr>
          <w:rFonts w:hint="cs"/>
          <w:rtl/>
          <w:lang w:bidi="fa-IR"/>
        </w:rPr>
        <w:t>فقدان ارکان و عناصر؛ یکی دیگر از حقوقدان آمریکایی به نام هلی</w:t>
      </w:r>
      <w:r w:rsidR="002527C7" w:rsidRPr="002527C7">
        <w:rPr>
          <w:vertAlign w:val="superscript"/>
          <w:rtl/>
          <w:lang w:bidi="fa-IR"/>
        </w:rPr>
        <w:footnoteReference w:id="80"/>
      </w:r>
      <w:r w:rsidR="002527C7" w:rsidRPr="00021023">
        <w:rPr>
          <w:rFonts w:hint="cs"/>
          <w:rtl/>
          <w:lang w:bidi="fa-IR"/>
        </w:rPr>
        <w:t xml:space="preserve"> همانند کاهن با انتقاد از تلاش حقوقدانان اروپایی بخصوص فرانسوی، برای ارائه تعاریف مختلف از نظم عمومی معتقد است اصولاً نظم عمومی آن‌قدر مبهم و متغیر است که تقریباً تعریف آن غیر ممکن است و نمی‌توان برای آن، ارکان و عناصر لازم را برشمرد؛ زیرا نظم عمومی فاقد پایه و مبنای روشنی است که از قبل بتوان مشخص کرد فلان مسئله به نظم عمومی وابستگی دارد یا ندارد. از این‌رو، لازم می</w:t>
      </w:r>
      <w:r w:rsidR="002527C7" w:rsidRPr="00021023">
        <w:rPr>
          <w:rFonts w:hint="cs"/>
          <w:cs/>
          <w:lang w:bidi="fa-IR"/>
        </w:rPr>
        <w:t>‎</w:t>
      </w:r>
      <w:r w:rsidR="002527C7" w:rsidRPr="00021023">
        <w:rPr>
          <w:rFonts w:hint="cs"/>
          <w:rtl/>
          <w:lang w:bidi="fa-IR"/>
        </w:rPr>
        <w:t xml:space="preserve">آید که هر </w:t>
      </w:r>
      <w:r w:rsidR="002527C7" w:rsidRPr="00021023">
        <w:rPr>
          <w:rFonts w:hint="cs"/>
          <w:rtl/>
          <w:lang w:bidi="fa-IR"/>
        </w:rPr>
        <w:lastRenderedPageBreak/>
        <w:t>موضوع را در زمان مورد نظر و با نگاه به اوضاع و احوال همان قضیه مورد تجزیه و تحلیل قرار داد.</w:t>
      </w:r>
      <w:r w:rsidR="002527C7" w:rsidRPr="002527C7">
        <w:rPr>
          <w:vertAlign w:val="superscript"/>
          <w:rtl/>
          <w:lang w:bidi="fa-IR"/>
        </w:rPr>
        <w:footnoteReference w:id="81"/>
      </w:r>
    </w:p>
    <w:p w:rsidR="002527C7" w:rsidRPr="00021023" w:rsidRDefault="00021023" w:rsidP="004C2DA3">
      <w:pPr>
        <w:bidi/>
        <w:spacing w:before="240"/>
        <w:ind w:firstLine="360"/>
        <w:jc w:val="mediumKashida"/>
        <w:rPr>
          <w:rtl/>
          <w:lang w:bidi="fa-IR"/>
        </w:rPr>
      </w:pPr>
      <w:r>
        <w:rPr>
          <w:rFonts w:hint="cs"/>
          <w:rtl/>
          <w:lang w:bidi="fa-IR"/>
        </w:rPr>
        <w:t xml:space="preserve">4- </w:t>
      </w:r>
      <w:r w:rsidR="002527C7" w:rsidRPr="00021023">
        <w:rPr>
          <w:rFonts w:hint="cs"/>
          <w:rtl/>
          <w:lang w:bidi="fa-IR"/>
        </w:rPr>
        <w:t>غیر قابل تعریف بودن؛ نویسنده دیگری به نام «پی‌یر»</w:t>
      </w:r>
      <w:r w:rsidR="002527C7" w:rsidRPr="002527C7">
        <w:rPr>
          <w:vertAlign w:val="superscript"/>
          <w:rtl/>
          <w:lang w:bidi="fa-IR"/>
        </w:rPr>
        <w:footnoteReference w:id="82"/>
      </w:r>
      <w:r w:rsidR="002527C7" w:rsidRPr="00021023">
        <w:rPr>
          <w:rFonts w:hint="cs"/>
          <w:lang w:bidi="fa-IR"/>
        </w:rPr>
        <w:t xml:space="preserve"> </w:t>
      </w:r>
      <w:r w:rsidR="002527C7" w:rsidRPr="00021023">
        <w:rPr>
          <w:rFonts w:hint="cs"/>
          <w:rtl/>
          <w:lang w:bidi="fa-IR"/>
        </w:rPr>
        <w:t>تصریح می‌کند: دقت در تعاریف نظم عمومی، مبین آن است که هر تعریف می‌تواند از جهات مختلف مورد ایراد قرار گیرد و این امر قطعاً به دلیل عدم توانمندی این نویسندگان نیست، بلکه به دلیل غیر قابل تعریف بودن مفهوم نظم عمومی و گستردگی و ظرافت آن است. به تعبیر دیگر، امکان تعریف دقیق از آن وجود ندارد، اگر چه بتوان حتی به نوعی آن را تعریف کرد.</w:t>
      </w:r>
      <w:r w:rsidR="002527C7" w:rsidRPr="002527C7">
        <w:rPr>
          <w:vertAlign w:val="superscript"/>
          <w:rtl/>
          <w:lang w:bidi="fa-IR"/>
        </w:rPr>
        <w:footnoteReference w:id="83"/>
      </w:r>
      <w:r w:rsidR="002527C7" w:rsidRPr="00021023">
        <w:rPr>
          <w:lang w:bidi="fa-IR"/>
        </w:rPr>
        <w:t xml:space="preserve"> </w:t>
      </w:r>
      <w:r w:rsidR="002527C7" w:rsidRPr="00021023">
        <w:rPr>
          <w:rFonts w:hint="cs"/>
          <w:rtl/>
          <w:lang w:bidi="fa-IR"/>
        </w:rPr>
        <w:t>برخی از حقوقدانان ایرانی، همانند دکتر جعفری لنگرودی که در چندین اثر حقوقی خود از نظم عمومی تعاریف گوناگونی ارائه داده‌اند، برخلاف رویه سابق در آخرین اثر خود این مفهوم را غیر قابل تعریف روشن دانسته‌اند.</w:t>
      </w:r>
      <w:r w:rsidR="002527C7" w:rsidRPr="002527C7">
        <w:rPr>
          <w:vertAlign w:val="superscript"/>
          <w:rtl/>
          <w:lang w:bidi="fa-IR"/>
        </w:rPr>
        <w:footnoteReference w:id="84"/>
      </w:r>
    </w:p>
    <w:p w:rsidR="002527C7" w:rsidRPr="002527C7" w:rsidRDefault="002527C7" w:rsidP="004C2DA3">
      <w:pPr>
        <w:bidi/>
        <w:spacing w:before="240"/>
        <w:ind w:firstLine="360"/>
        <w:jc w:val="mediumKashida"/>
        <w:rPr>
          <w:rtl/>
          <w:lang w:bidi="fa-IR"/>
        </w:rPr>
      </w:pPr>
      <w:r w:rsidRPr="002527C7">
        <w:rPr>
          <w:rFonts w:hint="cs"/>
          <w:rtl/>
          <w:lang w:bidi="fa-IR"/>
        </w:rPr>
        <w:t xml:space="preserve">در ایران قانونگذار ترجیح داد است اصطلاح نظم عمومی را تعریف نکرده و مسئله را به قاضی واگذارد(مانند ماده 975 قانون مدنی ). می‌توان گفت قاضی در تشخیص مصادیق نظم عمومی، خود نقش کلیدی دارد. هر چند باید بپذیرفت که </w:t>
      </w:r>
      <w:r w:rsidRPr="002527C7">
        <w:rPr>
          <w:rFonts w:hint="cs"/>
          <w:rtl/>
          <w:lang w:bidi="fa-IR"/>
        </w:rPr>
        <w:lastRenderedPageBreak/>
        <w:t>دادرس در این‌باره به جای تفسیر شخصی و سلیقه‌ای باید به اندیشه حاکم بر جامعه و مصالح کشور خود مراجعه کند.</w:t>
      </w:r>
      <w:r w:rsidRPr="002527C7">
        <w:rPr>
          <w:vertAlign w:val="superscript"/>
          <w:rtl/>
          <w:lang w:bidi="fa-IR"/>
        </w:rPr>
        <w:footnoteReference w:id="85"/>
      </w:r>
    </w:p>
    <w:p w:rsidR="002527C7" w:rsidRPr="00021023" w:rsidRDefault="00021023" w:rsidP="004C2DA3">
      <w:pPr>
        <w:tabs>
          <w:tab w:val="right" w:pos="7920"/>
        </w:tabs>
        <w:bidi/>
        <w:spacing w:before="240"/>
        <w:ind w:firstLine="360"/>
        <w:jc w:val="mediumKashida"/>
        <w:rPr>
          <w:rtl/>
          <w:lang w:bidi="fa-IR"/>
        </w:rPr>
      </w:pPr>
      <w:r>
        <w:rPr>
          <w:rFonts w:hint="cs"/>
          <w:rtl/>
          <w:lang w:bidi="fa-IR"/>
        </w:rPr>
        <w:t>5</w:t>
      </w:r>
      <w:r w:rsidR="00813851" w:rsidRPr="00021023">
        <w:rPr>
          <w:rFonts w:hint="cs"/>
          <w:rtl/>
          <w:lang w:bidi="fa-IR"/>
        </w:rPr>
        <w:t xml:space="preserve">- </w:t>
      </w:r>
      <w:r w:rsidR="002527C7" w:rsidRPr="00021023">
        <w:rPr>
          <w:rFonts w:hint="cs"/>
          <w:rtl/>
          <w:lang w:bidi="fa-IR"/>
        </w:rPr>
        <w:t>عدم وجود مفهوم ثابت؛ بسیاری از اندیشمندان حقوقی</w:t>
      </w:r>
      <w:r w:rsidR="002527C7" w:rsidRPr="002527C7">
        <w:rPr>
          <w:vertAlign w:val="superscript"/>
          <w:rtl/>
          <w:lang w:bidi="fa-IR"/>
        </w:rPr>
        <w:footnoteReference w:id="86"/>
      </w:r>
      <w:r w:rsidR="002527C7" w:rsidRPr="00021023">
        <w:rPr>
          <w:rFonts w:hint="cs"/>
          <w:rtl/>
          <w:lang w:bidi="fa-IR"/>
        </w:rPr>
        <w:t xml:space="preserve"> نیز معتقدند که مفهوم نظم عمومی امری نسبی است چرا که منافع و مصالح جامعه امری ثابت نیست و در طول زمان متغیر است، از این‌رو عوامل مؤثر در تشخیص منافع و مصالح هم بسیار متنوع و متکثر خواهد بود. در نتیجه برای شناسایی این معیار مفهوم ثابتی را نمی‌توان در نظر داشت.</w:t>
      </w:r>
    </w:p>
    <w:p w:rsidR="002527C7" w:rsidRPr="002527C7" w:rsidRDefault="002527C7" w:rsidP="004C2DA3">
      <w:pPr>
        <w:tabs>
          <w:tab w:val="right" w:pos="7920"/>
        </w:tabs>
        <w:bidi/>
        <w:spacing w:before="240"/>
        <w:ind w:firstLine="360"/>
        <w:jc w:val="mediumKashida"/>
        <w:rPr>
          <w:rtl/>
          <w:lang w:bidi="fa-IR"/>
        </w:rPr>
      </w:pPr>
      <w:r w:rsidRPr="002527C7">
        <w:rPr>
          <w:rFonts w:hint="cs"/>
          <w:rtl/>
          <w:lang w:bidi="fa-IR"/>
        </w:rPr>
        <w:t>آنچه پس از این مطالب به ذهن می</w:t>
      </w:r>
      <w:r w:rsidRPr="002527C7">
        <w:rPr>
          <w:rtl/>
          <w:lang w:bidi="fa-IR"/>
        </w:rPr>
        <w:softHyphen/>
      </w:r>
      <w:r w:rsidRPr="002527C7">
        <w:rPr>
          <w:rFonts w:hint="cs"/>
          <w:rtl/>
          <w:lang w:bidi="fa-IR"/>
        </w:rPr>
        <w:t>رسد، این است که نظریه گروه مخالفان با حقیقت نظم عمومی هم‌خوانی بیشتری دارد؛ حقوق</w:t>
      </w:r>
      <w:r w:rsidRPr="002527C7">
        <w:rPr>
          <w:rtl/>
          <w:lang w:bidi="fa-IR"/>
        </w:rPr>
        <w:softHyphen/>
      </w:r>
      <w:r w:rsidRPr="002527C7">
        <w:rPr>
          <w:rFonts w:hint="cs"/>
          <w:rtl/>
          <w:lang w:bidi="fa-IR"/>
        </w:rPr>
        <w:t xml:space="preserve">دانان مخالف تعریف، از نظام </w:t>
      </w:r>
      <w:r w:rsidR="00A80D92">
        <w:rPr>
          <w:rFonts w:hint="cs"/>
          <w:rtl/>
          <w:lang w:bidi="fa-IR"/>
        </w:rPr>
        <w:t>کامن‌</w:t>
      </w:r>
      <w:r w:rsidRPr="002527C7">
        <w:rPr>
          <w:rFonts w:hint="cs"/>
          <w:rtl/>
          <w:lang w:bidi="fa-IR"/>
        </w:rPr>
        <w:t>لا بر اساس نظام حقوقی غیر مدون خود و همچنین مخالفان وابسته به نظام رومی-ژرمنی به علت غیر قابل پیش</w:t>
      </w:r>
      <w:r w:rsidRPr="002527C7">
        <w:rPr>
          <w:rtl/>
          <w:lang w:bidi="fa-IR"/>
        </w:rPr>
        <w:softHyphen/>
      </w:r>
      <w:r w:rsidRPr="002527C7">
        <w:rPr>
          <w:rFonts w:hint="cs"/>
          <w:rtl/>
          <w:lang w:bidi="fa-IR"/>
        </w:rPr>
        <w:t>بینی دانستن مصادیق معیار مذکور، در این موضع، متحد و مدافع نگرش مبنی بر عدم تعریف این معیار می</w:t>
      </w:r>
      <w:r w:rsidRPr="002527C7">
        <w:rPr>
          <w:rtl/>
          <w:lang w:bidi="fa-IR"/>
        </w:rPr>
        <w:softHyphen/>
      </w:r>
      <w:r w:rsidRPr="002527C7">
        <w:rPr>
          <w:rFonts w:hint="cs"/>
          <w:rtl/>
          <w:lang w:bidi="fa-IR"/>
        </w:rPr>
        <w:t>باشند.</w:t>
      </w:r>
    </w:p>
    <w:p w:rsidR="002527C7" w:rsidRPr="002527C7" w:rsidRDefault="002527C7" w:rsidP="004C2DA3">
      <w:pPr>
        <w:tabs>
          <w:tab w:val="right" w:pos="7920"/>
        </w:tabs>
        <w:bidi/>
        <w:spacing w:before="240"/>
        <w:ind w:firstLine="360"/>
        <w:jc w:val="mediumKashida"/>
        <w:rPr>
          <w:rtl/>
          <w:lang w:bidi="fa-IR"/>
        </w:rPr>
      </w:pPr>
      <w:r w:rsidRPr="002527C7">
        <w:rPr>
          <w:rFonts w:hint="cs"/>
          <w:rtl/>
          <w:lang w:bidi="fa-IR"/>
        </w:rPr>
        <w:t>دیگر نکته قابل ذکر این که به لحاظ دشواری‌های شناخت عناصر تشکیل دهنده‌ی نظم عمومی بسیاری از مؤلفان حقوق از تعریف آن سرباز زده‌اند.</w:t>
      </w:r>
      <w:r w:rsidRPr="002527C7">
        <w:rPr>
          <w:vertAlign w:val="superscript"/>
          <w:rtl/>
          <w:lang w:bidi="fa-IR"/>
        </w:rPr>
        <w:footnoteReference w:id="87"/>
      </w:r>
      <w:r w:rsidRPr="002527C7">
        <w:rPr>
          <w:rFonts w:hint="cs"/>
          <w:rtl/>
          <w:lang w:bidi="fa-IR"/>
        </w:rPr>
        <w:t xml:space="preserve"> حتی مطالعه تطبیقی در حقوق سایر کشورها نیز برای یافتن تعریف اصطلاح نظم عمومی چندان راهگشا نیست، چرا که در اکثر قوانین از ارائه تعریف این اصطلاح خودداری </w:t>
      </w:r>
      <w:r w:rsidRPr="002527C7">
        <w:rPr>
          <w:rFonts w:hint="cs"/>
          <w:rtl/>
          <w:lang w:bidi="fa-IR"/>
        </w:rPr>
        <w:lastRenderedPageBreak/>
        <w:t>شده</w:t>
      </w:r>
      <w:r w:rsidRPr="002527C7">
        <w:rPr>
          <w:vertAlign w:val="superscript"/>
          <w:rtl/>
          <w:lang w:bidi="fa-IR"/>
        </w:rPr>
        <w:footnoteReference w:id="88"/>
      </w:r>
      <w:r w:rsidRPr="002527C7">
        <w:rPr>
          <w:rFonts w:hint="cs"/>
          <w:rtl/>
          <w:lang w:bidi="fa-IR"/>
        </w:rPr>
        <w:t xml:space="preserve"> و در آرای دادگاه‌ها و مراجع داوری هم که به نظم عمومی استناد گردیده، هیچ توضیح مشخصی در مورد آن ارائه نشده است.</w:t>
      </w:r>
      <w:r w:rsidRPr="002527C7">
        <w:rPr>
          <w:vertAlign w:val="superscript"/>
          <w:rtl/>
          <w:lang w:bidi="fa-IR"/>
        </w:rPr>
        <w:footnoteReference w:id="89"/>
      </w:r>
    </w:p>
    <w:p w:rsidR="002527C7" w:rsidRPr="002527C7" w:rsidRDefault="002527C7" w:rsidP="004C2DA3">
      <w:pPr>
        <w:tabs>
          <w:tab w:val="right" w:pos="7920"/>
        </w:tabs>
        <w:bidi/>
        <w:spacing w:before="240"/>
        <w:ind w:firstLine="360"/>
        <w:jc w:val="mediumKashida"/>
        <w:rPr>
          <w:rtl/>
          <w:lang w:bidi="fa-IR"/>
        </w:rPr>
      </w:pPr>
      <w:r w:rsidRPr="002527C7">
        <w:rPr>
          <w:rFonts w:hint="cs"/>
          <w:rtl/>
          <w:lang w:bidi="fa-IR"/>
        </w:rPr>
        <w:t>چیزی که از بی</w:t>
      </w:r>
      <w:r w:rsidRPr="002527C7">
        <w:rPr>
          <w:rtl/>
          <w:lang w:bidi="fa-IR"/>
        </w:rPr>
        <w:softHyphen/>
      </w:r>
      <w:r w:rsidRPr="002527C7">
        <w:rPr>
          <w:rFonts w:hint="cs"/>
          <w:rtl/>
          <w:lang w:bidi="fa-IR"/>
        </w:rPr>
        <w:t>تفاوتی در تعریف یا تعمد در عدم تعریف آن، به ذهن متبادر می</w:t>
      </w:r>
      <w:r w:rsidRPr="002527C7">
        <w:rPr>
          <w:rFonts w:hint="cs"/>
          <w:rtl/>
          <w:lang w:bidi="fa-IR"/>
        </w:rPr>
        <w:softHyphen/>
        <w:t>شود، همانا همبستگی تعریف این مفهوم با مصادیق آن است. به عبارتی، معیار نظم عمومی با مصادیق خود تعریف می</w:t>
      </w:r>
      <w:r w:rsidRPr="002527C7">
        <w:rPr>
          <w:rFonts w:hint="cs"/>
          <w:rtl/>
          <w:lang w:bidi="fa-IR"/>
        </w:rPr>
        <w:softHyphen/>
        <w:t>شود و مصادیق این معیار با توجه به بنیان</w:t>
      </w:r>
      <w:r w:rsidRPr="002527C7">
        <w:rPr>
          <w:rtl/>
          <w:lang w:bidi="fa-IR"/>
        </w:rPr>
        <w:softHyphen/>
      </w:r>
      <w:r w:rsidRPr="002527C7">
        <w:rPr>
          <w:rFonts w:hint="cs"/>
          <w:rtl/>
          <w:lang w:bidi="fa-IR"/>
        </w:rPr>
        <w:t>های عرفی اجتماع و روح قوانین هر کشور، برای هر نظام حقوقی، گستره</w:t>
      </w:r>
      <w:r w:rsidRPr="002527C7">
        <w:rPr>
          <w:rFonts w:hint="cs"/>
          <w:rtl/>
          <w:lang w:bidi="fa-IR"/>
        </w:rPr>
        <w:softHyphen/>
        <w:t>ای با افراد متنوع است. چرا که «شرایط زمان و مکان، میزان رشد و توسعه یک نظام حقوقی و سطح ترقی و تکامل باورهای اجتماعی در شکل</w:t>
      </w:r>
      <w:r w:rsidRPr="002527C7">
        <w:rPr>
          <w:rFonts w:hint="cs"/>
          <w:rtl/>
          <w:lang w:bidi="fa-IR"/>
        </w:rPr>
        <w:softHyphen/>
        <w:t>گیری و محدوده نظم عمومی یک نظام حقوقی ملی مؤثر است.»</w:t>
      </w:r>
      <w:r w:rsidRPr="002527C7">
        <w:rPr>
          <w:vertAlign w:val="superscript"/>
          <w:rtl/>
          <w:lang w:bidi="fa-IR"/>
        </w:rPr>
        <w:footnoteReference w:id="90"/>
      </w:r>
      <w:r w:rsidRPr="002527C7">
        <w:rPr>
          <w:rFonts w:hint="cs"/>
          <w:rtl/>
          <w:lang w:bidi="fa-IR"/>
        </w:rPr>
        <w:t xml:space="preserve"> نظم عمومی، مسئله‌ای مرتبط با اخلاق، سیاست، اقتصاد و مبانی تمدن حاکم بر یک کشور است و از آن‌جا که این امور از جامعه‌ای به جامعه‌ی دیگر متفاوت است، به تبع آن، مفهوم و مصادیق نظم عمومی نیز از کشوری به کشور دیگر، مختلف است.</w:t>
      </w:r>
      <w:r w:rsidRPr="002527C7">
        <w:rPr>
          <w:vertAlign w:val="superscript"/>
          <w:rtl/>
          <w:lang w:bidi="fa-IR"/>
        </w:rPr>
        <w:footnoteReference w:id="91"/>
      </w:r>
    </w:p>
    <w:p w:rsidR="002527C7" w:rsidRPr="002527C7" w:rsidRDefault="002527C7" w:rsidP="004C2DA3">
      <w:pPr>
        <w:tabs>
          <w:tab w:val="right" w:pos="7920"/>
        </w:tabs>
        <w:bidi/>
        <w:spacing w:before="240"/>
        <w:ind w:firstLine="360"/>
        <w:jc w:val="mediumKashida"/>
        <w:rPr>
          <w:rtl/>
          <w:lang w:bidi="fa-IR"/>
        </w:rPr>
      </w:pPr>
      <w:r w:rsidRPr="002527C7">
        <w:rPr>
          <w:rFonts w:hint="cs"/>
          <w:rtl/>
          <w:lang w:bidi="fa-IR"/>
        </w:rPr>
        <w:t>اما علی‌‌‌رغم عدم اتفاق نظر بین دانشمندان حقوق به منظور بیان تعریفی جامع و مانع برای نظم عمومی ، امکان تبیین این معیار از لحاظ حقوقی، وجود دارد.</w:t>
      </w:r>
      <w:r w:rsidRPr="002527C7">
        <w:rPr>
          <w:vertAlign w:val="superscript"/>
          <w:rtl/>
          <w:lang w:bidi="fa-IR"/>
        </w:rPr>
        <w:footnoteReference w:id="92"/>
      </w:r>
      <w:r w:rsidRPr="002527C7">
        <w:rPr>
          <w:rFonts w:hint="cs"/>
          <w:rtl/>
          <w:lang w:bidi="fa-IR"/>
        </w:rPr>
        <w:t xml:space="preserve"> بطور کلی باید گفت که معیار نظم عمومی، معیاری است حقوقی و اجتماعی که در موارد </w:t>
      </w:r>
      <w:r w:rsidRPr="002527C7">
        <w:rPr>
          <w:rFonts w:hint="cs"/>
          <w:rtl/>
          <w:lang w:bidi="fa-IR"/>
        </w:rPr>
        <w:lastRenderedPageBreak/>
        <w:t>سکوت یا اجمال قانون در موارد خاص، از منافع و مصالح یک جامعه و نظام</w:t>
      </w:r>
      <w:r w:rsidR="00907140">
        <w:rPr>
          <w:rFonts w:hint="cs"/>
          <w:rtl/>
          <w:lang w:bidi="fa-IR"/>
        </w:rPr>
        <w:t xml:space="preserve"> حقوقی دفاع می</w:t>
      </w:r>
      <w:r w:rsidR="00907140">
        <w:rPr>
          <w:rFonts w:hint="cs"/>
          <w:rtl/>
          <w:lang w:bidi="fa-IR"/>
        </w:rPr>
        <w:softHyphen/>
        <w:t>کند.</w:t>
      </w:r>
    </w:p>
    <w:p w:rsidR="002527C7" w:rsidRPr="002527C7" w:rsidRDefault="002527C7" w:rsidP="004C2DA3">
      <w:pPr>
        <w:tabs>
          <w:tab w:val="right" w:pos="7920"/>
        </w:tabs>
        <w:bidi/>
        <w:spacing w:before="240"/>
        <w:ind w:firstLine="360"/>
        <w:jc w:val="mediumKashida"/>
        <w:rPr>
          <w:rtl/>
          <w:lang w:bidi="fa-IR"/>
        </w:rPr>
      </w:pPr>
      <w:r w:rsidRPr="002527C7">
        <w:rPr>
          <w:rFonts w:hint="cs"/>
          <w:rtl/>
          <w:lang w:bidi="fa-IR"/>
        </w:rPr>
        <w:t>برخی نظم عمومی را مترادف با قواعد امری می‌دانند که افراد نمی‌توانند به وسیله قراردادهای خصوصی آن قواعد را نقض کنند. همچنین مخالفت با نظم عمومی را چیزی جز نقض مقررات امری نمی‌دانند. با این وجود، همه قواعد امری، نظم عمومی نیستند بلکه صرفاً قواعدی که با اساس جامعه و الزامات اساسی آن به‌ویژه امنیت و پایداری مرتبط می‌شوند.</w:t>
      </w:r>
      <w:r w:rsidRPr="002527C7">
        <w:rPr>
          <w:vertAlign w:val="superscript"/>
          <w:rtl/>
          <w:lang w:bidi="fa-IR"/>
        </w:rPr>
        <w:footnoteReference w:id="93"/>
      </w:r>
    </w:p>
    <w:p w:rsidR="002527C7" w:rsidRPr="002527C7" w:rsidRDefault="002527C7" w:rsidP="004C2DA3">
      <w:pPr>
        <w:bidi/>
        <w:spacing w:before="240"/>
        <w:ind w:firstLine="360"/>
        <w:jc w:val="mediumKashida"/>
        <w:rPr>
          <w:rtl/>
          <w:lang w:bidi="fa-IR"/>
        </w:rPr>
      </w:pPr>
      <w:r w:rsidRPr="002527C7">
        <w:rPr>
          <w:rFonts w:hint="cs"/>
          <w:rtl/>
          <w:lang w:bidi="fa-IR"/>
        </w:rPr>
        <w:t>برای شناسایی مفهوم نظم عمومی، نمی‌توان معنا و مفهوم ثابتی در نظر گرفت؛ یعنی نظم عمومی یک مفهوم نسبی است که با ملاحظه همه عوامل اجتماعی، اقتصادی، فرهنگی و سیاسی یک جامعه مشخص خواهد شد. البته این بدان معنا نیست که نظم عمومی دارای مفاهیم متعددی است؛ شاید بتوان این‌گونه گفت که در هر مورد خاص، قاضی یا دادرس رسیدگی کننده در مقام تشخیص مصادیق نظم عمومی هر کشور، به موجب اصول کلی حقوقی و موازین حقوق داخلی یا بین‌المللی، دارای نقش کلیدی است.</w:t>
      </w:r>
      <w:r w:rsidRPr="002527C7">
        <w:rPr>
          <w:vertAlign w:val="superscript"/>
          <w:rtl/>
          <w:lang w:bidi="fa-IR"/>
        </w:rPr>
        <w:footnoteReference w:id="94"/>
      </w:r>
    </w:p>
    <w:p w:rsidR="002527C7" w:rsidRPr="002527C7" w:rsidRDefault="002527C7" w:rsidP="004C2DA3">
      <w:pPr>
        <w:bidi/>
        <w:spacing w:before="240"/>
        <w:ind w:firstLine="360"/>
        <w:jc w:val="mediumKashida"/>
        <w:rPr>
          <w:rtl/>
          <w:lang w:bidi="fa-IR"/>
        </w:rPr>
      </w:pPr>
      <w:r w:rsidRPr="002527C7">
        <w:rPr>
          <w:rFonts w:hint="cs"/>
          <w:rtl/>
          <w:lang w:bidi="fa-IR"/>
        </w:rPr>
        <w:t xml:space="preserve">در راستای تبیین بیشتر مفهوم نظم عمومی، ذکر این نکته قابل ذکر است؛ اصولاً تمسک به معیار نظم عمومی در قوانین کشورها به این منظور بوده که بتوان از اجرای مواردی که اگرچه در قوانین موضوعه داخلی پیش‌بینی نشده امّا با اخلاق و عدالت در تعارض است، جلوگیری کرد. به عبارت دیگر، این معیار برای مواقع عدم </w:t>
      </w:r>
      <w:r w:rsidRPr="002527C7">
        <w:rPr>
          <w:rFonts w:hint="cs"/>
          <w:rtl/>
          <w:lang w:bidi="fa-IR"/>
        </w:rPr>
        <w:lastRenderedPageBreak/>
        <w:t>پیش‌بینی یک وضعیت خاص در قوانین، مورد استفاده قرار می‌گیرد. یعنی قانونگذار با پیش‌بینی معیار نظم عمومی دست قاضی را برای تفسیر در جهت عدالت، در وضعیت‌های خاص، باز می‌گذارد.</w:t>
      </w:r>
    </w:p>
    <w:p w:rsidR="00FF5A7E" w:rsidRDefault="002527C7" w:rsidP="004C2DA3">
      <w:pPr>
        <w:bidi/>
        <w:spacing w:before="240"/>
        <w:ind w:firstLine="360"/>
        <w:jc w:val="mediumKashida"/>
        <w:rPr>
          <w:rtl/>
          <w:lang w:bidi="fa-IR"/>
        </w:rPr>
      </w:pPr>
      <w:r w:rsidRPr="002527C7">
        <w:rPr>
          <w:rFonts w:hint="cs"/>
          <w:rtl/>
          <w:lang w:bidi="fa-IR"/>
        </w:rPr>
        <w:t>باید این نکته را نیز مورد اشاره قرار داد که نظم عمومی به عنوان جلوه‌گاه منافع اجتماع، منافع شخصی و خصوصی افراد را کنار می‌گذارد و منافع عمومی جامعه را در اولویت قرار می‌دهد. به نظر می‌رسد در تمام نظریه‌های ارائه شده در مورد مفهوم نظم عمومی، بر سر یک چیز وحدت نظر وجود دارد و آن ارتباط نظم عمومی با منافع و مصالح عالی و بنیادی جامعه است.</w:t>
      </w:r>
    </w:p>
    <w:p w:rsidR="009731A2" w:rsidRDefault="009731A2" w:rsidP="004C2DA3">
      <w:pPr>
        <w:bidi/>
        <w:spacing w:before="240"/>
        <w:ind w:firstLine="360"/>
        <w:jc w:val="mediumKashida"/>
        <w:rPr>
          <w:rtl/>
          <w:lang w:bidi="fa-IR"/>
        </w:rPr>
      </w:pPr>
    </w:p>
    <w:p w:rsidR="00A80D92" w:rsidRDefault="00A80D92" w:rsidP="00A80D92">
      <w:pPr>
        <w:bidi/>
        <w:spacing w:before="240"/>
        <w:ind w:firstLine="360"/>
        <w:jc w:val="mediumKashida"/>
        <w:rPr>
          <w:rtl/>
          <w:lang w:bidi="fa-IR"/>
        </w:rPr>
      </w:pPr>
    </w:p>
    <w:p w:rsidR="00A80D92" w:rsidRDefault="00A80D92" w:rsidP="00A80D92">
      <w:pPr>
        <w:bidi/>
        <w:spacing w:before="240"/>
        <w:ind w:firstLine="360"/>
        <w:jc w:val="mediumKashida"/>
        <w:rPr>
          <w:rtl/>
          <w:lang w:bidi="fa-IR"/>
        </w:rPr>
      </w:pPr>
    </w:p>
    <w:p w:rsidR="00FF5A7E" w:rsidRDefault="00FF5A7E" w:rsidP="009308A0">
      <w:pPr>
        <w:pStyle w:val="Heading2"/>
        <w:jc w:val="center"/>
        <w:rPr>
          <w:rtl/>
          <w:lang w:bidi="fa-IR"/>
        </w:rPr>
      </w:pPr>
      <w:bookmarkStart w:id="11" w:name="_Toc397212638"/>
      <w:r w:rsidRPr="009731A2">
        <w:rPr>
          <w:rtl/>
          <w:lang w:bidi="fa-IR"/>
        </w:rPr>
        <w:t xml:space="preserve">گفتار </w:t>
      </w:r>
      <w:r w:rsidRPr="009731A2">
        <w:rPr>
          <w:rFonts w:hint="cs"/>
          <w:rtl/>
          <w:lang w:bidi="fa-IR"/>
        </w:rPr>
        <w:t>دوم</w:t>
      </w:r>
      <w:r w:rsidRPr="009731A2">
        <w:rPr>
          <w:rtl/>
          <w:lang w:bidi="fa-IR"/>
        </w:rPr>
        <w:t>: نسب</w:t>
      </w:r>
      <w:r w:rsidRPr="009731A2">
        <w:rPr>
          <w:rFonts w:hint="cs"/>
          <w:rtl/>
          <w:lang w:bidi="fa-IR"/>
        </w:rPr>
        <w:t>ی</w:t>
      </w:r>
      <w:r w:rsidRPr="009731A2">
        <w:rPr>
          <w:rFonts w:hint="eastAsia"/>
          <w:rtl/>
          <w:lang w:bidi="fa-IR"/>
        </w:rPr>
        <w:t>ت</w:t>
      </w:r>
      <w:r w:rsidRPr="009731A2">
        <w:rPr>
          <w:rtl/>
          <w:lang w:bidi="fa-IR"/>
        </w:rPr>
        <w:t xml:space="preserve"> مکان</w:t>
      </w:r>
      <w:r w:rsidRPr="009731A2">
        <w:rPr>
          <w:rFonts w:hint="cs"/>
          <w:rtl/>
          <w:lang w:bidi="fa-IR"/>
        </w:rPr>
        <w:t>ی</w:t>
      </w:r>
      <w:r w:rsidRPr="009731A2">
        <w:rPr>
          <w:rtl/>
          <w:lang w:bidi="fa-IR"/>
        </w:rPr>
        <w:t xml:space="preserve"> و زمان</w:t>
      </w:r>
      <w:r w:rsidRPr="009731A2">
        <w:rPr>
          <w:rFonts w:hint="cs"/>
          <w:rtl/>
          <w:lang w:bidi="fa-IR"/>
        </w:rPr>
        <w:t>ی</w:t>
      </w:r>
      <w:r w:rsidRPr="009731A2">
        <w:rPr>
          <w:rtl/>
          <w:lang w:bidi="fa-IR"/>
        </w:rPr>
        <w:t xml:space="preserve"> نظم عموم</w:t>
      </w:r>
      <w:r w:rsidRPr="009731A2">
        <w:rPr>
          <w:rFonts w:hint="cs"/>
          <w:rtl/>
          <w:lang w:bidi="fa-IR"/>
        </w:rPr>
        <w:t>ی</w:t>
      </w:r>
      <w:bookmarkEnd w:id="11"/>
    </w:p>
    <w:p w:rsidR="009308A0" w:rsidRPr="009308A0" w:rsidRDefault="009308A0" w:rsidP="009308A0">
      <w:pPr>
        <w:rPr>
          <w:rtl/>
          <w:lang w:bidi="fa-IR"/>
        </w:rPr>
      </w:pPr>
    </w:p>
    <w:p w:rsidR="00FF5A7E" w:rsidRPr="00FF5A7E" w:rsidRDefault="00FF5A7E" w:rsidP="004C2DA3">
      <w:pPr>
        <w:bidi/>
        <w:spacing w:before="240"/>
        <w:ind w:firstLine="360"/>
        <w:jc w:val="mediumKashida"/>
        <w:rPr>
          <w:rtl/>
          <w:lang w:bidi="fa-IR"/>
        </w:rPr>
      </w:pPr>
      <w:r w:rsidRPr="00FF5A7E">
        <w:rPr>
          <w:rFonts w:hint="eastAsia"/>
          <w:rtl/>
          <w:lang w:bidi="fa-IR"/>
        </w:rPr>
        <w:t>مفهوم</w:t>
      </w:r>
      <w:r w:rsidRPr="00FF5A7E">
        <w:rPr>
          <w:rtl/>
          <w:lang w:bidi="fa-IR"/>
        </w:rPr>
        <w:t xml:space="preserve"> نظم عموم</w:t>
      </w:r>
      <w:r w:rsidRPr="00FF5A7E">
        <w:rPr>
          <w:rFonts w:hint="cs"/>
          <w:rtl/>
          <w:lang w:bidi="fa-IR"/>
        </w:rPr>
        <w:t>ی</w:t>
      </w:r>
      <w:r w:rsidRPr="00FF5A7E">
        <w:rPr>
          <w:rtl/>
          <w:lang w:bidi="fa-IR"/>
        </w:rPr>
        <w:t xml:space="preserve"> فاقد گستره شمول ثابت بوده و برحسب مقتض</w:t>
      </w:r>
      <w:r w:rsidRPr="00FF5A7E">
        <w:rPr>
          <w:rFonts w:hint="cs"/>
          <w:rtl/>
          <w:lang w:bidi="fa-IR"/>
        </w:rPr>
        <w:t>ی</w:t>
      </w:r>
      <w:r w:rsidRPr="00FF5A7E">
        <w:rPr>
          <w:rFonts w:hint="eastAsia"/>
          <w:rtl/>
          <w:lang w:bidi="fa-IR"/>
        </w:rPr>
        <w:t>ات</w:t>
      </w:r>
      <w:r w:rsidRPr="00FF5A7E">
        <w:rPr>
          <w:rtl/>
          <w:lang w:bidi="fa-IR"/>
        </w:rPr>
        <w:t xml:space="preserve"> زمان و مکان متغ</w:t>
      </w:r>
      <w:r w:rsidRPr="00FF5A7E">
        <w:rPr>
          <w:rFonts w:hint="cs"/>
          <w:rtl/>
          <w:lang w:bidi="fa-IR"/>
        </w:rPr>
        <w:t>ی</w:t>
      </w:r>
      <w:r w:rsidRPr="00FF5A7E">
        <w:rPr>
          <w:rFonts w:hint="eastAsia"/>
          <w:rtl/>
          <w:lang w:bidi="fa-IR"/>
        </w:rPr>
        <w:t>ر</w:t>
      </w:r>
      <w:r w:rsidR="00E25213">
        <w:rPr>
          <w:rtl/>
          <w:lang w:bidi="fa-IR"/>
        </w:rPr>
        <w:t xml:space="preserve"> است.</w:t>
      </w:r>
      <w:r w:rsidRPr="00FF5A7E">
        <w:rPr>
          <w:rtl/>
          <w:lang w:bidi="fa-IR"/>
        </w:rPr>
        <w:t xml:space="preserve"> در خصوص ا</w:t>
      </w:r>
      <w:r w:rsidRPr="00FF5A7E">
        <w:rPr>
          <w:rFonts w:hint="cs"/>
          <w:rtl/>
          <w:lang w:bidi="fa-IR"/>
        </w:rPr>
        <w:t>ی</w:t>
      </w:r>
      <w:r w:rsidRPr="00FF5A7E">
        <w:rPr>
          <w:rFonts w:hint="eastAsia"/>
          <w:rtl/>
          <w:lang w:bidi="fa-IR"/>
        </w:rPr>
        <w:t>ن‌که</w:t>
      </w:r>
      <w:r w:rsidRPr="00FF5A7E">
        <w:rPr>
          <w:rtl/>
          <w:lang w:bidi="fa-IR"/>
        </w:rPr>
        <w:t xml:space="preserve"> نظم عموم</w:t>
      </w:r>
      <w:r w:rsidRPr="00FF5A7E">
        <w:rPr>
          <w:rFonts w:hint="cs"/>
          <w:rtl/>
          <w:lang w:bidi="fa-IR"/>
        </w:rPr>
        <w:t>ی</w:t>
      </w:r>
      <w:r w:rsidRPr="00FF5A7E">
        <w:rPr>
          <w:rtl/>
          <w:lang w:bidi="fa-IR"/>
        </w:rPr>
        <w:t xml:space="preserve"> مفهوم</w:t>
      </w:r>
      <w:r w:rsidRPr="00FF5A7E">
        <w:rPr>
          <w:rFonts w:hint="cs"/>
          <w:rtl/>
          <w:lang w:bidi="fa-IR"/>
        </w:rPr>
        <w:t>ی</w:t>
      </w:r>
      <w:r w:rsidRPr="00FF5A7E">
        <w:rPr>
          <w:rtl/>
          <w:lang w:bidi="fa-IR"/>
        </w:rPr>
        <w:t xml:space="preserve"> س</w:t>
      </w:r>
      <w:r w:rsidRPr="00FF5A7E">
        <w:rPr>
          <w:rFonts w:hint="cs"/>
          <w:rtl/>
          <w:lang w:bidi="fa-IR"/>
        </w:rPr>
        <w:t>ی</w:t>
      </w:r>
      <w:r w:rsidRPr="00FF5A7E">
        <w:rPr>
          <w:rFonts w:hint="eastAsia"/>
          <w:rtl/>
          <w:lang w:bidi="fa-IR"/>
        </w:rPr>
        <w:t>ال</w:t>
      </w:r>
      <w:r w:rsidRPr="00FF5A7E">
        <w:rPr>
          <w:rtl/>
          <w:lang w:bidi="fa-IR"/>
        </w:rPr>
        <w:t xml:space="preserve"> و مبهم است، </w:t>
      </w:r>
      <w:r w:rsidR="00E25213">
        <w:rPr>
          <w:rtl/>
          <w:lang w:bidi="fa-IR"/>
        </w:rPr>
        <w:t>اتفاق نظر وجود دارد.</w:t>
      </w:r>
      <w:r w:rsidRPr="00FF5A7E">
        <w:rPr>
          <w:rtl/>
          <w:lang w:bidi="fa-IR"/>
        </w:rPr>
        <w:t xml:space="preserve"> از ا</w:t>
      </w:r>
      <w:r w:rsidRPr="00FF5A7E">
        <w:rPr>
          <w:rFonts w:hint="cs"/>
          <w:rtl/>
          <w:lang w:bidi="fa-IR"/>
        </w:rPr>
        <w:t>ی</w:t>
      </w:r>
      <w:r w:rsidRPr="00FF5A7E">
        <w:rPr>
          <w:rFonts w:hint="eastAsia"/>
          <w:rtl/>
          <w:lang w:bidi="fa-IR"/>
        </w:rPr>
        <w:t>ن‌رو</w:t>
      </w:r>
      <w:r w:rsidRPr="00FF5A7E">
        <w:rPr>
          <w:rtl/>
          <w:lang w:bidi="fa-IR"/>
        </w:rPr>
        <w:t xml:space="preserve"> تع</w:t>
      </w:r>
      <w:r w:rsidRPr="00FF5A7E">
        <w:rPr>
          <w:rFonts w:hint="cs"/>
          <w:rtl/>
          <w:lang w:bidi="fa-IR"/>
        </w:rPr>
        <w:t>یی</w:t>
      </w:r>
      <w:r w:rsidRPr="00FF5A7E">
        <w:rPr>
          <w:rFonts w:hint="eastAsia"/>
          <w:rtl/>
          <w:lang w:bidi="fa-IR"/>
        </w:rPr>
        <w:t>ن</w:t>
      </w:r>
      <w:r w:rsidRPr="00FF5A7E">
        <w:rPr>
          <w:rtl/>
          <w:lang w:bidi="fa-IR"/>
        </w:rPr>
        <w:t xml:space="preserve"> ضابطه </w:t>
      </w:r>
      <w:r w:rsidRPr="00FF5A7E">
        <w:rPr>
          <w:rFonts w:hint="cs"/>
          <w:rtl/>
          <w:lang w:bidi="fa-IR"/>
        </w:rPr>
        <w:t>ی</w:t>
      </w:r>
      <w:r w:rsidRPr="00FF5A7E">
        <w:rPr>
          <w:rFonts w:hint="eastAsia"/>
          <w:rtl/>
          <w:lang w:bidi="fa-IR"/>
        </w:rPr>
        <w:t>کسان</w:t>
      </w:r>
      <w:r w:rsidRPr="00FF5A7E">
        <w:rPr>
          <w:rtl/>
          <w:lang w:bidi="fa-IR"/>
        </w:rPr>
        <w:t xml:space="preserve"> برا</w:t>
      </w:r>
      <w:r w:rsidRPr="00FF5A7E">
        <w:rPr>
          <w:rFonts w:hint="cs"/>
          <w:rtl/>
          <w:lang w:bidi="fa-IR"/>
        </w:rPr>
        <w:t>ی</w:t>
      </w:r>
      <w:r w:rsidRPr="00FF5A7E">
        <w:rPr>
          <w:rtl/>
          <w:lang w:bidi="fa-IR"/>
        </w:rPr>
        <w:t xml:space="preserve"> همه کشورها بس</w:t>
      </w:r>
      <w:r w:rsidRPr="00FF5A7E">
        <w:rPr>
          <w:rFonts w:hint="cs"/>
          <w:rtl/>
          <w:lang w:bidi="fa-IR"/>
        </w:rPr>
        <w:t>ی</w:t>
      </w:r>
      <w:r w:rsidRPr="00FF5A7E">
        <w:rPr>
          <w:rFonts w:hint="eastAsia"/>
          <w:rtl/>
          <w:lang w:bidi="fa-IR"/>
        </w:rPr>
        <w:t>ار</w:t>
      </w:r>
      <w:r w:rsidRPr="00FF5A7E">
        <w:rPr>
          <w:rtl/>
          <w:lang w:bidi="fa-IR"/>
        </w:rPr>
        <w:t xml:space="preserve"> دشوار م</w:t>
      </w:r>
      <w:r w:rsidRPr="00FF5A7E">
        <w:rPr>
          <w:rFonts w:hint="cs"/>
          <w:rtl/>
          <w:lang w:bidi="fa-IR"/>
        </w:rPr>
        <w:t>ی‌</w:t>
      </w:r>
      <w:r w:rsidRPr="00FF5A7E">
        <w:rPr>
          <w:rFonts w:hint="eastAsia"/>
          <w:rtl/>
          <w:lang w:bidi="fa-IR"/>
        </w:rPr>
        <w:t>باشد،</w:t>
      </w:r>
      <w:r w:rsidRPr="00FF5A7E">
        <w:rPr>
          <w:rtl/>
          <w:lang w:bidi="fa-IR"/>
        </w:rPr>
        <w:t xml:space="preserve"> در ا</w:t>
      </w:r>
      <w:r w:rsidRPr="00FF5A7E">
        <w:rPr>
          <w:rFonts w:hint="cs"/>
          <w:rtl/>
          <w:lang w:bidi="fa-IR"/>
        </w:rPr>
        <w:t>ی</w:t>
      </w:r>
      <w:r w:rsidRPr="00FF5A7E">
        <w:rPr>
          <w:rFonts w:hint="eastAsia"/>
          <w:rtl/>
          <w:lang w:bidi="fa-IR"/>
        </w:rPr>
        <w:t>ن</w:t>
      </w:r>
      <w:r w:rsidRPr="00FF5A7E">
        <w:rPr>
          <w:rtl/>
          <w:lang w:bidi="fa-IR"/>
        </w:rPr>
        <w:t xml:space="preserve"> حالت م</w:t>
      </w:r>
      <w:r w:rsidRPr="00FF5A7E">
        <w:rPr>
          <w:rFonts w:hint="cs"/>
          <w:rtl/>
          <w:lang w:bidi="fa-IR"/>
        </w:rPr>
        <w:t>ی‌</w:t>
      </w:r>
      <w:r w:rsidRPr="00FF5A7E">
        <w:rPr>
          <w:rFonts w:hint="eastAsia"/>
          <w:rtl/>
          <w:lang w:bidi="fa-IR"/>
        </w:rPr>
        <w:t>توان</w:t>
      </w:r>
      <w:r w:rsidRPr="00FF5A7E">
        <w:rPr>
          <w:rtl/>
          <w:lang w:bidi="fa-IR"/>
        </w:rPr>
        <w:t xml:space="preserve"> به نسب</w:t>
      </w:r>
      <w:r w:rsidRPr="00FF5A7E">
        <w:rPr>
          <w:rFonts w:hint="cs"/>
          <w:rtl/>
          <w:lang w:bidi="fa-IR"/>
        </w:rPr>
        <w:t>ی</w:t>
      </w:r>
      <w:r w:rsidRPr="00FF5A7E">
        <w:rPr>
          <w:rFonts w:hint="eastAsia"/>
          <w:rtl/>
          <w:lang w:bidi="fa-IR"/>
        </w:rPr>
        <w:t>ت</w:t>
      </w:r>
      <w:r w:rsidRPr="00FF5A7E">
        <w:rPr>
          <w:rtl/>
          <w:lang w:bidi="fa-IR"/>
        </w:rPr>
        <w:t xml:space="preserve"> مفهوم نظم عموم</w:t>
      </w:r>
      <w:r w:rsidRPr="00FF5A7E">
        <w:rPr>
          <w:rFonts w:hint="cs"/>
          <w:rtl/>
          <w:lang w:bidi="fa-IR"/>
        </w:rPr>
        <w:t>ی</w:t>
      </w:r>
      <w:r w:rsidRPr="00FF5A7E">
        <w:rPr>
          <w:rtl/>
          <w:lang w:bidi="fa-IR"/>
        </w:rPr>
        <w:t xml:space="preserve"> رس</w:t>
      </w:r>
      <w:r w:rsidRPr="00FF5A7E">
        <w:rPr>
          <w:rFonts w:hint="cs"/>
          <w:rtl/>
          <w:lang w:bidi="fa-IR"/>
        </w:rPr>
        <w:t>ی</w:t>
      </w:r>
      <w:r w:rsidRPr="00FF5A7E">
        <w:rPr>
          <w:rFonts w:hint="eastAsia"/>
          <w:rtl/>
          <w:lang w:bidi="fa-IR"/>
        </w:rPr>
        <w:t>د</w:t>
      </w:r>
      <w:r w:rsidR="00E25213">
        <w:rPr>
          <w:lang w:bidi="fa-IR"/>
        </w:rPr>
        <w:t>.</w:t>
      </w:r>
    </w:p>
    <w:p w:rsidR="00FF5A7E" w:rsidRPr="00FF5A7E" w:rsidRDefault="00FF5A7E" w:rsidP="004C2DA3">
      <w:pPr>
        <w:bidi/>
        <w:spacing w:before="240"/>
        <w:ind w:firstLine="360"/>
        <w:jc w:val="mediumKashida"/>
        <w:rPr>
          <w:rtl/>
          <w:lang w:bidi="fa-IR"/>
        </w:rPr>
      </w:pPr>
      <w:r w:rsidRPr="00FF5A7E">
        <w:rPr>
          <w:rFonts w:hint="cs"/>
          <w:rtl/>
          <w:lang w:bidi="fa-IR"/>
        </w:rPr>
        <w:t>ی</w:t>
      </w:r>
      <w:r w:rsidRPr="00FF5A7E">
        <w:rPr>
          <w:rFonts w:hint="eastAsia"/>
          <w:rtl/>
          <w:lang w:bidi="fa-IR"/>
        </w:rPr>
        <w:t>ک</w:t>
      </w:r>
      <w:r w:rsidRPr="00FF5A7E">
        <w:rPr>
          <w:rFonts w:hint="cs"/>
          <w:rtl/>
          <w:lang w:bidi="fa-IR"/>
        </w:rPr>
        <w:t>ی</w:t>
      </w:r>
      <w:r w:rsidRPr="00FF5A7E">
        <w:rPr>
          <w:rtl/>
          <w:lang w:bidi="fa-IR"/>
        </w:rPr>
        <w:t xml:space="preserve"> از وجوه نسب</w:t>
      </w:r>
      <w:r w:rsidRPr="00FF5A7E">
        <w:rPr>
          <w:rFonts w:hint="cs"/>
          <w:rtl/>
          <w:lang w:bidi="fa-IR"/>
        </w:rPr>
        <w:t>ی</w:t>
      </w:r>
      <w:r w:rsidRPr="00FF5A7E">
        <w:rPr>
          <w:rFonts w:hint="eastAsia"/>
          <w:rtl/>
          <w:lang w:bidi="fa-IR"/>
        </w:rPr>
        <w:t>ت</w:t>
      </w:r>
      <w:r w:rsidRPr="00FF5A7E">
        <w:rPr>
          <w:rtl/>
          <w:lang w:bidi="fa-IR"/>
        </w:rPr>
        <w:t xml:space="preserve"> نظم عموم</w:t>
      </w:r>
      <w:r w:rsidRPr="00FF5A7E">
        <w:rPr>
          <w:rFonts w:hint="cs"/>
          <w:rtl/>
          <w:lang w:bidi="fa-IR"/>
        </w:rPr>
        <w:t>ی</w:t>
      </w:r>
      <w:r w:rsidRPr="00FF5A7E">
        <w:rPr>
          <w:rFonts w:hint="eastAsia"/>
          <w:rtl/>
          <w:lang w:bidi="fa-IR"/>
        </w:rPr>
        <w:t>،</w:t>
      </w:r>
      <w:r w:rsidRPr="00FF5A7E">
        <w:rPr>
          <w:rtl/>
          <w:lang w:bidi="fa-IR"/>
        </w:rPr>
        <w:t xml:space="preserve"> «نسب</w:t>
      </w:r>
      <w:r w:rsidRPr="00FF5A7E">
        <w:rPr>
          <w:rFonts w:hint="cs"/>
          <w:rtl/>
          <w:lang w:bidi="fa-IR"/>
        </w:rPr>
        <w:t>ی</w:t>
      </w:r>
      <w:r w:rsidRPr="00FF5A7E">
        <w:rPr>
          <w:rFonts w:hint="eastAsia"/>
          <w:rtl/>
          <w:lang w:bidi="fa-IR"/>
        </w:rPr>
        <w:t>ت</w:t>
      </w:r>
      <w:r w:rsidRPr="00FF5A7E">
        <w:rPr>
          <w:rtl/>
          <w:lang w:bidi="fa-IR"/>
        </w:rPr>
        <w:t xml:space="preserve"> مکان</w:t>
      </w:r>
      <w:r w:rsidRPr="00FF5A7E">
        <w:rPr>
          <w:rFonts w:hint="cs"/>
          <w:rtl/>
          <w:lang w:bidi="fa-IR"/>
        </w:rPr>
        <w:t>ی</w:t>
      </w:r>
      <w:r w:rsidRPr="00FF5A7E">
        <w:rPr>
          <w:rFonts w:hint="eastAsia"/>
          <w:rtl/>
          <w:lang w:bidi="fa-IR"/>
        </w:rPr>
        <w:t>»</w:t>
      </w:r>
      <w:r w:rsidRPr="00FF5A7E">
        <w:rPr>
          <w:rtl/>
          <w:lang w:bidi="fa-IR"/>
        </w:rPr>
        <w:t xml:space="preserve"> آن است. بد</w:t>
      </w:r>
      <w:r w:rsidRPr="00FF5A7E">
        <w:rPr>
          <w:rFonts w:hint="cs"/>
          <w:rtl/>
          <w:lang w:bidi="fa-IR"/>
        </w:rPr>
        <w:t>ی</w:t>
      </w:r>
      <w:r w:rsidRPr="00FF5A7E">
        <w:rPr>
          <w:rFonts w:hint="eastAsia"/>
          <w:rtl/>
          <w:lang w:bidi="fa-IR"/>
        </w:rPr>
        <w:t>ن</w:t>
      </w:r>
      <w:r w:rsidRPr="00FF5A7E">
        <w:rPr>
          <w:rtl/>
          <w:lang w:bidi="fa-IR"/>
        </w:rPr>
        <w:t xml:space="preserve"> صورت که نظم عموم</w:t>
      </w:r>
      <w:r w:rsidRPr="00FF5A7E">
        <w:rPr>
          <w:rFonts w:hint="cs"/>
          <w:rtl/>
          <w:lang w:bidi="fa-IR"/>
        </w:rPr>
        <w:t>ی</w:t>
      </w:r>
      <w:r w:rsidRPr="00FF5A7E">
        <w:rPr>
          <w:rtl/>
          <w:lang w:bidi="fa-IR"/>
        </w:rPr>
        <w:t xml:space="preserve"> از جامعه</w:t>
      </w:r>
      <w:r w:rsidR="00E25213">
        <w:rPr>
          <w:rFonts w:ascii="Cambria" w:hAnsi="Cambria" w:cs="Cambria" w:hint="cs"/>
          <w:rtl/>
          <w:lang w:bidi="fa-IR"/>
        </w:rPr>
        <w:t>‌</w:t>
      </w:r>
      <w:r w:rsidRPr="00FF5A7E">
        <w:rPr>
          <w:rFonts w:hint="cs"/>
          <w:rtl/>
          <w:lang w:bidi="fa-IR"/>
        </w:rPr>
        <w:t>ای</w:t>
      </w:r>
      <w:r w:rsidRPr="00FF5A7E">
        <w:rPr>
          <w:rtl/>
          <w:lang w:bidi="fa-IR"/>
        </w:rPr>
        <w:t xml:space="preserve"> به جامعه</w:t>
      </w:r>
      <w:r w:rsidR="00E25213">
        <w:rPr>
          <w:rFonts w:ascii="Cambria" w:hAnsi="Cambria" w:cs="Times New Roman" w:hint="cs"/>
          <w:rtl/>
          <w:lang w:bidi="fa-IR"/>
        </w:rPr>
        <w:t>ا</w:t>
      </w:r>
      <w:r w:rsidRPr="00FF5A7E">
        <w:rPr>
          <w:rFonts w:hint="cs"/>
          <w:rtl/>
          <w:lang w:bidi="fa-IR"/>
        </w:rPr>
        <w:t>ی</w:t>
      </w:r>
      <w:r w:rsidRPr="00FF5A7E">
        <w:rPr>
          <w:rtl/>
          <w:lang w:bidi="fa-IR"/>
        </w:rPr>
        <w:t xml:space="preserve"> د</w:t>
      </w:r>
      <w:r w:rsidRPr="00FF5A7E">
        <w:rPr>
          <w:rFonts w:hint="cs"/>
          <w:rtl/>
          <w:lang w:bidi="fa-IR"/>
        </w:rPr>
        <w:t>ی</w:t>
      </w:r>
      <w:r w:rsidRPr="00FF5A7E">
        <w:rPr>
          <w:rFonts w:hint="eastAsia"/>
          <w:rtl/>
          <w:lang w:bidi="fa-IR"/>
        </w:rPr>
        <w:t>گر</w:t>
      </w:r>
      <w:r w:rsidRPr="00FF5A7E">
        <w:rPr>
          <w:rtl/>
          <w:lang w:bidi="fa-IR"/>
        </w:rPr>
        <w:t xml:space="preserve"> چهره</w:t>
      </w:r>
      <w:r w:rsidR="00E25213">
        <w:rPr>
          <w:rFonts w:ascii="Cambria" w:hAnsi="Cambria" w:cs="Cambria" w:hint="cs"/>
          <w:rtl/>
          <w:lang w:bidi="fa-IR"/>
        </w:rPr>
        <w:t>‌</w:t>
      </w:r>
      <w:r w:rsidRPr="00FF5A7E">
        <w:rPr>
          <w:rFonts w:hint="cs"/>
          <w:rtl/>
          <w:lang w:bidi="fa-IR"/>
        </w:rPr>
        <w:t>ی</w:t>
      </w:r>
      <w:r w:rsidRPr="00FF5A7E">
        <w:rPr>
          <w:rtl/>
          <w:lang w:bidi="fa-IR"/>
        </w:rPr>
        <w:t xml:space="preserve"> متفاوت</w:t>
      </w:r>
      <w:r w:rsidRPr="00FF5A7E">
        <w:rPr>
          <w:rFonts w:hint="cs"/>
          <w:rtl/>
          <w:lang w:bidi="fa-IR"/>
        </w:rPr>
        <w:t>ی</w:t>
      </w:r>
      <w:r w:rsidRPr="00FF5A7E">
        <w:rPr>
          <w:rtl/>
          <w:lang w:bidi="fa-IR"/>
        </w:rPr>
        <w:t xml:space="preserve"> دارد.  به عبارت د</w:t>
      </w:r>
      <w:r w:rsidRPr="00FF5A7E">
        <w:rPr>
          <w:rFonts w:hint="cs"/>
          <w:rtl/>
          <w:lang w:bidi="fa-IR"/>
        </w:rPr>
        <w:t>ی</w:t>
      </w:r>
      <w:r w:rsidRPr="00FF5A7E">
        <w:rPr>
          <w:rFonts w:hint="eastAsia"/>
          <w:rtl/>
          <w:lang w:bidi="fa-IR"/>
        </w:rPr>
        <w:t>گر</w:t>
      </w:r>
      <w:r w:rsidRPr="00FF5A7E">
        <w:rPr>
          <w:rtl/>
          <w:lang w:bidi="fa-IR"/>
        </w:rPr>
        <w:t xml:space="preserve"> </w:t>
      </w:r>
      <w:r w:rsidRPr="00FF5A7E">
        <w:rPr>
          <w:rtl/>
          <w:lang w:bidi="fa-IR"/>
        </w:rPr>
        <w:lastRenderedPageBreak/>
        <w:t>ا</w:t>
      </w:r>
      <w:r w:rsidRPr="00FF5A7E">
        <w:rPr>
          <w:rFonts w:hint="cs"/>
          <w:rtl/>
          <w:lang w:bidi="fa-IR"/>
        </w:rPr>
        <w:t>ی</w:t>
      </w:r>
      <w:r w:rsidRPr="00FF5A7E">
        <w:rPr>
          <w:rFonts w:hint="eastAsia"/>
          <w:rtl/>
          <w:lang w:bidi="fa-IR"/>
        </w:rPr>
        <w:t>ن</w:t>
      </w:r>
      <w:r w:rsidRPr="00FF5A7E">
        <w:rPr>
          <w:rtl/>
          <w:lang w:bidi="fa-IR"/>
        </w:rPr>
        <w:t xml:space="preserve"> مفهوم در کشورها</w:t>
      </w:r>
      <w:r w:rsidRPr="00FF5A7E">
        <w:rPr>
          <w:rFonts w:hint="cs"/>
          <w:rtl/>
          <w:lang w:bidi="fa-IR"/>
        </w:rPr>
        <w:t>ی</w:t>
      </w:r>
      <w:r w:rsidRPr="00FF5A7E">
        <w:rPr>
          <w:rtl/>
          <w:lang w:bidi="fa-IR"/>
        </w:rPr>
        <w:t xml:space="preserve"> مختلف </w:t>
      </w:r>
      <w:r w:rsidRPr="00FF5A7E">
        <w:rPr>
          <w:rFonts w:hint="cs"/>
          <w:rtl/>
          <w:lang w:bidi="fa-IR"/>
        </w:rPr>
        <w:t>ی</w:t>
      </w:r>
      <w:r w:rsidRPr="00FF5A7E">
        <w:rPr>
          <w:rFonts w:hint="eastAsia"/>
          <w:rtl/>
          <w:lang w:bidi="fa-IR"/>
        </w:rPr>
        <w:t>کسان</w:t>
      </w:r>
      <w:r w:rsidRPr="00FF5A7E">
        <w:rPr>
          <w:rtl/>
          <w:lang w:bidi="fa-IR"/>
        </w:rPr>
        <w:t xml:space="preserve"> ن</w:t>
      </w:r>
      <w:r w:rsidRPr="00FF5A7E">
        <w:rPr>
          <w:rFonts w:hint="cs"/>
          <w:rtl/>
          <w:lang w:bidi="fa-IR"/>
        </w:rPr>
        <w:t>ی</w:t>
      </w:r>
      <w:r w:rsidRPr="00FF5A7E">
        <w:rPr>
          <w:rFonts w:hint="eastAsia"/>
          <w:rtl/>
          <w:lang w:bidi="fa-IR"/>
        </w:rPr>
        <w:t>ست؛</w:t>
      </w:r>
      <w:r w:rsidRPr="00FF5A7E">
        <w:rPr>
          <w:rtl/>
          <w:lang w:bidi="fa-IR"/>
        </w:rPr>
        <w:t xml:space="preserve"> در واقع با</w:t>
      </w:r>
      <w:r w:rsidRPr="00FF5A7E">
        <w:rPr>
          <w:rFonts w:hint="cs"/>
          <w:rtl/>
          <w:lang w:bidi="fa-IR"/>
        </w:rPr>
        <w:t>ی</w:t>
      </w:r>
      <w:r w:rsidRPr="00FF5A7E">
        <w:rPr>
          <w:rFonts w:hint="eastAsia"/>
          <w:rtl/>
          <w:lang w:bidi="fa-IR"/>
        </w:rPr>
        <w:t>د</w:t>
      </w:r>
      <w:r w:rsidRPr="00FF5A7E">
        <w:rPr>
          <w:rtl/>
          <w:lang w:bidi="fa-IR"/>
        </w:rPr>
        <w:t xml:space="preserve"> اذعان داشت که، ممکن است رأ</w:t>
      </w:r>
      <w:r w:rsidRPr="00FF5A7E">
        <w:rPr>
          <w:rFonts w:hint="cs"/>
          <w:rtl/>
          <w:lang w:bidi="fa-IR"/>
        </w:rPr>
        <w:t>یی</w:t>
      </w:r>
      <w:r w:rsidRPr="00FF5A7E">
        <w:rPr>
          <w:rtl/>
          <w:lang w:bidi="fa-IR"/>
        </w:rPr>
        <w:t xml:space="preserve"> در کشور</w:t>
      </w:r>
      <w:r w:rsidRPr="00FF5A7E">
        <w:rPr>
          <w:rFonts w:hint="cs"/>
          <w:rtl/>
          <w:lang w:bidi="fa-IR"/>
        </w:rPr>
        <w:t>ی</w:t>
      </w:r>
      <w:r w:rsidRPr="00FF5A7E">
        <w:rPr>
          <w:rtl/>
          <w:lang w:bidi="fa-IR"/>
        </w:rPr>
        <w:t xml:space="preserve"> خاص قابل</w:t>
      </w:r>
      <w:r w:rsidRPr="00FF5A7E">
        <w:rPr>
          <w:rFonts w:hint="cs"/>
          <w:rtl/>
          <w:lang w:bidi="fa-IR"/>
        </w:rPr>
        <w:t>ی</w:t>
      </w:r>
      <w:r w:rsidRPr="00FF5A7E">
        <w:rPr>
          <w:rFonts w:hint="eastAsia"/>
          <w:rtl/>
          <w:lang w:bidi="fa-IR"/>
        </w:rPr>
        <w:t>ت</w:t>
      </w:r>
      <w:r w:rsidRPr="00FF5A7E">
        <w:rPr>
          <w:rtl/>
          <w:lang w:bidi="fa-IR"/>
        </w:rPr>
        <w:t xml:space="preserve"> اجرا داشته باشد ا</w:t>
      </w:r>
      <w:r w:rsidRPr="00FF5A7E">
        <w:rPr>
          <w:rFonts w:hint="eastAsia"/>
          <w:rtl/>
          <w:lang w:bidi="fa-IR"/>
        </w:rPr>
        <w:t>ما</w:t>
      </w:r>
      <w:r w:rsidRPr="00FF5A7E">
        <w:rPr>
          <w:rtl/>
          <w:lang w:bidi="fa-IR"/>
        </w:rPr>
        <w:t xml:space="preserve"> همان رأ</w:t>
      </w:r>
      <w:r w:rsidRPr="00FF5A7E">
        <w:rPr>
          <w:rFonts w:hint="cs"/>
          <w:rtl/>
          <w:lang w:bidi="fa-IR"/>
        </w:rPr>
        <w:t>ی</w:t>
      </w:r>
      <w:r w:rsidRPr="00FF5A7E">
        <w:rPr>
          <w:rtl/>
          <w:lang w:bidi="fa-IR"/>
        </w:rPr>
        <w:t xml:space="preserve"> از به سبب تعارض با نظم عموم</w:t>
      </w:r>
      <w:r w:rsidRPr="00FF5A7E">
        <w:rPr>
          <w:rFonts w:hint="cs"/>
          <w:rtl/>
          <w:lang w:bidi="fa-IR"/>
        </w:rPr>
        <w:t>ی</w:t>
      </w:r>
      <w:r w:rsidRPr="00FF5A7E">
        <w:rPr>
          <w:rtl/>
          <w:lang w:bidi="fa-IR"/>
        </w:rPr>
        <w:t xml:space="preserve"> در کشور</w:t>
      </w:r>
      <w:r w:rsidRPr="00FF5A7E">
        <w:rPr>
          <w:rFonts w:hint="cs"/>
          <w:rtl/>
          <w:lang w:bidi="fa-IR"/>
        </w:rPr>
        <w:t>ی</w:t>
      </w:r>
      <w:r w:rsidRPr="00FF5A7E">
        <w:rPr>
          <w:rtl/>
          <w:lang w:bidi="fa-IR"/>
        </w:rPr>
        <w:t xml:space="preserve"> د</w:t>
      </w:r>
      <w:r w:rsidRPr="00FF5A7E">
        <w:rPr>
          <w:rFonts w:hint="cs"/>
          <w:rtl/>
          <w:lang w:bidi="fa-IR"/>
        </w:rPr>
        <w:t>ی</w:t>
      </w:r>
      <w:r w:rsidRPr="00FF5A7E">
        <w:rPr>
          <w:rFonts w:hint="eastAsia"/>
          <w:rtl/>
          <w:lang w:bidi="fa-IR"/>
        </w:rPr>
        <w:t>گر،</w:t>
      </w:r>
      <w:r w:rsidRPr="00FF5A7E">
        <w:rPr>
          <w:rtl/>
          <w:lang w:bidi="fa-IR"/>
        </w:rPr>
        <w:t xml:space="preserve"> ابطال گردد</w:t>
      </w:r>
      <w:r w:rsidRPr="00FF5A7E">
        <w:rPr>
          <w:lang w:bidi="fa-IR"/>
        </w:rPr>
        <w:t>.</w:t>
      </w:r>
    </w:p>
    <w:p w:rsidR="00FF5A7E" w:rsidRPr="00FF5A7E" w:rsidRDefault="00FF5A7E" w:rsidP="004C2DA3">
      <w:pPr>
        <w:bidi/>
        <w:spacing w:before="240"/>
        <w:ind w:firstLine="360"/>
        <w:jc w:val="mediumKashida"/>
        <w:rPr>
          <w:rtl/>
          <w:lang w:bidi="fa-IR"/>
        </w:rPr>
      </w:pPr>
      <w:r w:rsidRPr="00FF5A7E">
        <w:rPr>
          <w:rFonts w:hint="eastAsia"/>
          <w:rtl/>
          <w:lang w:bidi="fa-IR"/>
        </w:rPr>
        <w:t>در</w:t>
      </w:r>
      <w:r w:rsidRPr="00FF5A7E">
        <w:rPr>
          <w:rtl/>
          <w:lang w:bidi="fa-IR"/>
        </w:rPr>
        <w:t xml:space="preserve"> ا</w:t>
      </w:r>
      <w:r w:rsidRPr="00FF5A7E">
        <w:rPr>
          <w:rFonts w:hint="cs"/>
          <w:rtl/>
          <w:lang w:bidi="fa-IR"/>
        </w:rPr>
        <w:t>ی</w:t>
      </w:r>
      <w:r w:rsidRPr="00FF5A7E">
        <w:rPr>
          <w:rFonts w:hint="eastAsia"/>
          <w:rtl/>
          <w:lang w:bidi="fa-IR"/>
        </w:rPr>
        <w:t>ن</w:t>
      </w:r>
      <w:r w:rsidRPr="00FF5A7E">
        <w:rPr>
          <w:rtl/>
          <w:lang w:bidi="fa-IR"/>
        </w:rPr>
        <w:t xml:space="preserve"> م</w:t>
      </w:r>
      <w:r w:rsidRPr="00FF5A7E">
        <w:rPr>
          <w:rFonts w:hint="cs"/>
          <w:rtl/>
          <w:lang w:bidi="fa-IR"/>
        </w:rPr>
        <w:t>ی</w:t>
      </w:r>
      <w:r w:rsidRPr="00FF5A7E">
        <w:rPr>
          <w:rFonts w:hint="eastAsia"/>
          <w:rtl/>
          <w:lang w:bidi="fa-IR"/>
        </w:rPr>
        <w:t>ان</w:t>
      </w:r>
      <w:r w:rsidRPr="00FF5A7E">
        <w:rPr>
          <w:rtl/>
          <w:lang w:bidi="fa-IR"/>
        </w:rPr>
        <w:t xml:space="preserve"> برخ</w:t>
      </w:r>
      <w:r w:rsidRPr="00FF5A7E">
        <w:rPr>
          <w:rFonts w:hint="cs"/>
          <w:rtl/>
          <w:lang w:bidi="fa-IR"/>
        </w:rPr>
        <w:t>ی</w:t>
      </w:r>
      <w:r w:rsidRPr="00FF5A7E">
        <w:rPr>
          <w:rtl/>
          <w:lang w:bidi="fa-IR"/>
        </w:rPr>
        <w:t xml:space="preserve"> نظم عموم</w:t>
      </w:r>
      <w:r w:rsidRPr="00FF5A7E">
        <w:rPr>
          <w:rFonts w:hint="cs"/>
          <w:rtl/>
          <w:lang w:bidi="fa-IR"/>
        </w:rPr>
        <w:t>ی</w:t>
      </w:r>
      <w:r w:rsidRPr="00FF5A7E">
        <w:rPr>
          <w:rtl/>
          <w:lang w:bidi="fa-IR"/>
        </w:rPr>
        <w:t xml:space="preserve"> را  قبل از هر چ</w:t>
      </w:r>
      <w:r w:rsidRPr="00FF5A7E">
        <w:rPr>
          <w:rFonts w:hint="cs"/>
          <w:rtl/>
          <w:lang w:bidi="fa-IR"/>
        </w:rPr>
        <w:t>ی</w:t>
      </w:r>
      <w:r w:rsidRPr="00FF5A7E">
        <w:rPr>
          <w:rFonts w:hint="eastAsia"/>
          <w:rtl/>
          <w:lang w:bidi="fa-IR"/>
        </w:rPr>
        <w:t>ز</w:t>
      </w:r>
      <w:r w:rsidRPr="00FF5A7E">
        <w:rPr>
          <w:rtl/>
          <w:lang w:bidi="fa-IR"/>
        </w:rPr>
        <w:t xml:space="preserve"> وابسته به قضاوت </w:t>
      </w:r>
      <w:r w:rsidRPr="00FF5A7E">
        <w:rPr>
          <w:rFonts w:hint="cs"/>
          <w:rtl/>
          <w:lang w:bidi="fa-IR"/>
        </w:rPr>
        <w:t>ی</w:t>
      </w:r>
      <w:r w:rsidRPr="00FF5A7E">
        <w:rPr>
          <w:rFonts w:hint="eastAsia"/>
          <w:rtl/>
          <w:lang w:bidi="fa-IR"/>
        </w:rPr>
        <w:t>ک</w:t>
      </w:r>
      <w:r w:rsidRPr="00FF5A7E">
        <w:rPr>
          <w:rtl/>
          <w:lang w:bidi="fa-IR"/>
        </w:rPr>
        <w:t xml:space="preserve"> جامعه خاص م</w:t>
      </w:r>
      <w:r w:rsidRPr="00FF5A7E">
        <w:rPr>
          <w:rFonts w:hint="cs"/>
          <w:rtl/>
          <w:lang w:bidi="fa-IR"/>
        </w:rPr>
        <w:t>ی‌</w:t>
      </w:r>
      <w:r w:rsidRPr="00FF5A7E">
        <w:rPr>
          <w:rFonts w:hint="eastAsia"/>
          <w:rtl/>
          <w:lang w:bidi="fa-IR"/>
        </w:rPr>
        <w:t>دانند</w:t>
      </w:r>
      <w:r w:rsidRPr="00FF5A7E">
        <w:rPr>
          <w:rtl/>
          <w:lang w:bidi="fa-IR"/>
        </w:rPr>
        <w:t>. به طور مثال م</w:t>
      </w:r>
      <w:r w:rsidRPr="00FF5A7E">
        <w:rPr>
          <w:rFonts w:hint="cs"/>
          <w:rtl/>
          <w:lang w:bidi="fa-IR"/>
        </w:rPr>
        <w:t>ی‌</w:t>
      </w:r>
      <w:r w:rsidRPr="00FF5A7E">
        <w:rPr>
          <w:rFonts w:hint="eastAsia"/>
          <w:rtl/>
          <w:lang w:bidi="fa-IR"/>
        </w:rPr>
        <w:t>توان</w:t>
      </w:r>
      <w:r w:rsidRPr="00FF5A7E">
        <w:rPr>
          <w:rtl/>
          <w:lang w:bidi="fa-IR"/>
        </w:rPr>
        <w:t xml:space="preserve"> به اختلاف ناش</w:t>
      </w:r>
      <w:r w:rsidRPr="00FF5A7E">
        <w:rPr>
          <w:rFonts w:hint="cs"/>
          <w:rtl/>
          <w:lang w:bidi="fa-IR"/>
        </w:rPr>
        <w:t>ی</w:t>
      </w:r>
      <w:r w:rsidRPr="00FF5A7E">
        <w:rPr>
          <w:rtl/>
          <w:lang w:bidi="fa-IR"/>
        </w:rPr>
        <w:t xml:space="preserve"> از تقس</w:t>
      </w:r>
      <w:r w:rsidRPr="00FF5A7E">
        <w:rPr>
          <w:rFonts w:hint="cs"/>
          <w:rtl/>
          <w:lang w:bidi="fa-IR"/>
        </w:rPr>
        <w:t>ی</w:t>
      </w:r>
      <w:r w:rsidRPr="00FF5A7E">
        <w:rPr>
          <w:rFonts w:hint="eastAsia"/>
          <w:rtl/>
          <w:lang w:bidi="fa-IR"/>
        </w:rPr>
        <w:t>م</w:t>
      </w:r>
      <w:r w:rsidRPr="00FF5A7E">
        <w:rPr>
          <w:rtl/>
          <w:lang w:bidi="fa-IR"/>
        </w:rPr>
        <w:t xml:space="preserve"> منافع حاصل از قمار اشاره کرد. رأ</w:t>
      </w:r>
      <w:r w:rsidRPr="00FF5A7E">
        <w:rPr>
          <w:rFonts w:hint="cs"/>
          <w:rtl/>
          <w:lang w:bidi="fa-IR"/>
        </w:rPr>
        <w:t>ی</w:t>
      </w:r>
      <w:r w:rsidRPr="00FF5A7E">
        <w:rPr>
          <w:rtl/>
          <w:lang w:bidi="fa-IR"/>
        </w:rPr>
        <w:t xml:space="preserve"> صادره در ا</w:t>
      </w:r>
      <w:r w:rsidRPr="00FF5A7E">
        <w:rPr>
          <w:rFonts w:hint="cs"/>
          <w:rtl/>
          <w:lang w:bidi="fa-IR"/>
        </w:rPr>
        <w:t>ی</w:t>
      </w:r>
      <w:r w:rsidRPr="00FF5A7E">
        <w:rPr>
          <w:rFonts w:hint="eastAsia"/>
          <w:rtl/>
          <w:lang w:bidi="fa-IR"/>
        </w:rPr>
        <w:t>ن</w:t>
      </w:r>
      <w:r w:rsidRPr="00FF5A7E">
        <w:rPr>
          <w:rtl/>
          <w:lang w:bidi="fa-IR"/>
        </w:rPr>
        <w:t xml:space="preserve"> خصوص در بس</w:t>
      </w:r>
      <w:r w:rsidRPr="00FF5A7E">
        <w:rPr>
          <w:rFonts w:hint="cs"/>
          <w:rtl/>
          <w:lang w:bidi="fa-IR"/>
        </w:rPr>
        <w:t>ی</w:t>
      </w:r>
      <w:r w:rsidRPr="00FF5A7E">
        <w:rPr>
          <w:rFonts w:hint="eastAsia"/>
          <w:rtl/>
          <w:lang w:bidi="fa-IR"/>
        </w:rPr>
        <w:t>ار</w:t>
      </w:r>
      <w:r w:rsidRPr="00FF5A7E">
        <w:rPr>
          <w:rFonts w:hint="cs"/>
          <w:rtl/>
          <w:lang w:bidi="fa-IR"/>
        </w:rPr>
        <w:t>ی</w:t>
      </w:r>
      <w:r w:rsidRPr="00FF5A7E">
        <w:rPr>
          <w:rtl/>
          <w:lang w:bidi="fa-IR"/>
        </w:rPr>
        <w:t xml:space="preserve"> از کشورها معتبر تلق</w:t>
      </w:r>
      <w:r w:rsidRPr="00FF5A7E">
        <w:rPr>
          <w:rFonts w:hint="cs"/>
          <w:rtl/>
          <w:lang w:bidi="fa-IR"/>
        </w:rPr>
        <w:t>ی</w:t>
      </w:r>
      <w:r w:rsidRPr="00FF5A7E">
        <w:rPr>
          <w:rtl/>
          <w:lang w:bidi="fa-IR"/>
        </w:rPr>
        <w:t xml:space="preserve"> خواهد شد، در حال</w:t>
      </w:r>
      <w:r w:rsidRPr="00FF5A7E">
        <w:rPr>
          <w:rFonts w:hint="cs"/>
          <w:rtl/>
          <w:lang w:bidi="fa-IR"/>
        </w:rPr>
        <w:t>ی</w:t>
      </w:r>
      <w:r w:rsidRPr="00FF5A7E">
        <w:rPr>
          <w:rtl/>
          <w:lang w:bidi="fa-IR"/>
        </w:rPr>
        <w:t xml:space="preserve"> که در بعض</w:t>
      </w:r>
      <w:r w:rsidRPr="00FF5A7E">
        <w:rPr>
          <w:rFonts w:hint="cs"/>
          <w:rtl/>
          <w:lang w:bidi="fa-IR"/>
        </w:rPr>
        <w:t>ی</w:t>
      </w:r>
      <w:r w:rsidRPr="00FF5A7E">
        <w:rPr>
          <w:rtl/>
          <w:lang w:bidi="fa-IR"/>
        </w:rPr>
        <w:t xml:space="preserve"> کشورها به و</w:t>
      </w:r>
      <w:r w:rsidRPr="00FF5A7E">
        <w:rPr>
          <w:rFonts w:hint="cs"/>
          <w:rtl/>
          <w:lang w:bidi="fa-IR"/>
        </w:rPr>
        <w:t>ی</w:t>
      </w:r>
      <w:r w:rsidRPr="00FF5A7E">
        <w:rPr>
          <w:rFonts w:hint="eastAsia"/>
          <w:rtl/>
          <w:lang w:bidi="fa-IR"/>
        </w:rPr>
        <w:t>ژه</w:t>
      </w:r>
      <w:r w:rsidRPr="00FF5A7E">
        <w:rPr>
          <w:rtl/>
          <w:lang w:bidi="fa-IR"/>
        </w:rPr>
        <w:t xml:space="preserve"> ک</w:t>
      </w:r>
      <w:r w:rsidRPr="00FF5A7E">
        <w:rPr>
          <w:rFonts w:hint="eastAsia"/>
          <w:rtl/>
          <w:lang w:bidi="fa-IR"/>
        </w:rPr>
        <w:t>شورها</w:t>
      </w:r>
      <w:r w:rsidRPr="00FF5A7E">
        <w:rPr>
          <w:rFonts w:hint="cs"/>
          <w:rtl/>
          <w:lang w:bidi="fa-IR"/>
        </w:rPr>
        <w:t>ی</w:t>
      </w:r>
      <w:r w:rsidRPr="00FF5A7E">
        <w:rPr>
          <w:rtl/>
          <w:lang w:bidi="fa-IR"/>
        </w:rPr>
        <w:t xml:space="preserve"> اسلام</w:t>
      </w:r>
      <w:r w:rsidRPr="00FF5A7E">
        <w:rPr>
          <w:rFonts w:hint="cs"/>
          <w:rtl/>
          <w:lang w:bidi="fa-IR"/>
        </w:rPr>
        <w:t>ی</w:t>
      </w:r>
      <w:r w:rsidRPr="00FF5A7E">
        <w:rPr>
          <w:rtl/>
          <w:lang w:bidi="fa-IR"/>
        </w:rPr>
        <w:t xml:space="preserve"> مغا</w:t>
      </w:r>
      <w:r w:rsidRPr="00FF5A7E">
        <w:rPr>
          <w:rFonts w:hint="cs"/>
          <w:rtl/>
          <w:lang w:bidi="fa-IR"/>
        </w:rPr>
        <w:t>ی</w:t>
      </w:r>
      <w:r w:rsidRPr="00FF5A7E">
        <w:rPr>
          <w:rFonts w:hint="eastAsia"/>
          <w:rtl/>
          <w:lang w:bidi="fa-IR"/>
        </w:rPr>
        <w:t>ر</w:t>
      </w:r>
      <w:r w:rsidRPr="00FF5A7E">
        <w:rPr>
          <w:rtl/>
          <w:lang w:bidi="fa-IR"/>
        </w:rPr>
        <w:t xml:space="preserve"> با نظم عموم</w:t>
      </w:r>
      <w:r w:rsidRPr="00FF5A7E">
        <w:rPr>
          <w:rFonts w:hint="cs"/>
          <w:rtl/>
          <w:lang w:bidi="fa-IR"/>
        </w:rPr>
        <w:t>ی</w:t>
      </w:r>
      <w:r w:rsidRPr="00FF5A7E">
        <w:rPr>
          <w:rtl/>
          <w:lang w:bidi="fa-IR"/>
        </w:rPr>
        <w:t xml:space="preserve"> است. مورد د</w:t>
      </w:r>
      <w:r w:rsidRPr="00FF5A7E">
        <w:rPr>
          <w:rFonts w:hint="cs"/>
          <w:rtl/>
          <w:lang w:bidi="fa-IR"/>
        </w:rPr>
        <w:t>ی</w:t>
      </w:r>
      <w:r w:rsidRPr="00FF5A7E">
        <w:rPr>
          <w:rFonts w:hint="eastAsia"/>
          <w:rtl/>
          <w:lang w:bidi="fa-IR"/>
        </w:rPr>
        <w:t>گر</w:t>
      </w:r>
      <w:r w:rsidRPr="00FF5A7E">
        <w:rPr>
          <w:rtl/>
          <w:lang w:bidi="fa-IR"/>
        </w:rPr>
        <w:t xml:space="preserve"> اختلافات ناش</w:t>
      </w:r>
      <w:r w:rsidRPr="00FF5A7E">
        <w:rPr>
          <w:rFonts w:hint="cs"/>
          <w:rtl/>
          <w:lang w:bidi="fa-IR"/>
        </w:rPr>
        <w:t>ی</w:t>
      </w:r>
      <w:r w:rsidRPr="00FF5A7E">
        <w:rPr>
          <w:rtl/>
          <w:lang w:bidi="fa-IR"/>
        </w:rPr>
        <w:t xml:space="preserve"> از مشروبات الکل</w:t>
      </w:r>
      <w:r w:rsidRPr="00FF5A7E">
        <w:rPr>
          <w:rFonts w:hint="cs"/>
          <w:rtl/>
          <w:lang w:bidi="fa-IR"/>
        </w:rPr>
        <w:t>ی</w:t>
      </w:r>
      <w:r w:rsidRPr="00FF5A7E">
        <w:rPr>
          <w:rtl/>
          <w:lang w:bidi="fa-IR"/>
        </w:rPr>
        <w:t xml:space="preserve"> است. ا</w:t>
      </w:r>
      <w:r w:rsidRPr="00FF5A7E">
        <w:rPr>
          <w:rFonts w:hint="cs"/>
          <w:rtl/>
          <w:lang w:bidi="fa-IR"/>
        </w:rPr>
        <w:t>ی</w:t>
      </w:r>
      <w:r w:rsidRPr="00FF5A7E">
        <w:rPr>
          <w:rFonts w:hint="eastAsia"/>
          <w:rtl/>
          <w:lang w:bidi="fa-IR"/>
        </w:rPr>
        <w:t>ن</w:t>
      </w:r>
      <w:r w:rsidRPr="00FF5A7E">
        <w:rPr>
          <w:rtl/>
          <w:lang w:bidi="fa-IR"/>
        </w:rPr>
        <w:t xml:space="preserve"> مشروبات در کشورها</w:t>
      </w:r>
      <w:r w:rsidRPr="00FF5A7E">
        <w:rPr>
          <w:rFonts w:hint="cs"/>
          <w:rtl/>
          <w:lang w:bidi="fa-IR"/>
        </w:rPr>
        <w:t>ی</w:t>
      </w:r>
      <w:r w:rsidRPr="00FF5A7E">
        <w:rPr>
          <w:rtl/>
          <w:lang w:bidi="fa-IR"/>
        </w:rPr>
        <w:t xml:space="preserve"> اسلام</w:t>
      </w:r>
      <w:r w:rsidRPr="00FF5A7E">
        <w:rPr>
          <w:rFonts w:hint="cs"/>
          <w:rtl/>
          <w:lang w:bidi="fa-IR"/>
        </w:rPr>
        <w:t>ی</w:t>
      </w:r>
      <w:r w:rsidRPr="00FF5A7E">
        <w:rPr>
          <w:rtl/>
          <w:lang w:bidi="fa-IR"/>
        </w:rPr>
        <w:t xml:space="preserve"> ممنوع</w:t>
      </w:r>
      <w:r w:rsidR="00E25213">
        <w:rPr>
          <w:rFonts w:ascii="Cambria" w:hAnsi="Cambria" w:cs="Cambria" w:hint="cs"/>
          <w:rtl/>
          <w:lang w:bidi="fa-IR"/>
        </w:rPr>
        <w:t>‌</w:t>
      </w:r>
      <w:r w:rsidRPr="00FF5A7E">
        <w:rPr>
          <w:rFonts w:hint="cs"/>
          <w:rtl/>
          <w:lang w:bidi="fa-IR"/>
        </w:rPr>
        <w:t>اند</w:t>
      </w:r>
      <w:r w:rsidRPr="00FF5A7E">
        <w:rPr>
          <w:rtl/>
          <w:lang w:bidi="fa-IR"/>
        </w:rPr>
        <w:t xml:space="preserve">. </w:t>
      </w:r>
      <w:r w:rsidRPr="00FF5A7E">
        <w:rPr>
          <w:rFonts w:hint="cs"/>
          <w:rtl/>
          <w:lang w:bidi="fa-IR"/>
        </w:rPr>
        <w:t>در</w:t>
      </w:r>
      <w:r w:rsidRPr="00FF5A7E">
        <w:rPr>
          <w:rtl/>
          <w:lang w:bidi="fa-IR"/>
        </w:rPr>
        <w:t xml:space="preserve"> </w:t>
      </w:r>
      <w:r w:rsidRPr="00FF5A7E">
        <w:rPr>
          <w:rFonts w:hint="cs"/>
          <w:rtl/>
          <w:lang w:bidi="fa-IR"/>
        </w:rPr>
        <w:t>حالی</w:t>
      </w:r>
      <w:r w:rsidRPr="00FF5A7E">
        <w:rPr>
          <w:rtl/>
          <w:lang w:bidi="fa-IR"/>
        </w:rPr>
        <w:t xml:space="preserve"> که در کشورها</w:t>
      </w:r>
      <w:r w:rsidRPr="00FF5A7E">
        <w:rPr>
          <w:rFonts w:hint="cs"/>
          <w:rtl/>
          <w:lang w:bidi="fa-IR"/>
        </w:rPr>
        <w:t>ی</w:t>
      </w:r>
      <w:r w:rsidRPr="00FF5A7E">
        <w:rPr>
          <w:rtl/>
          <w:lang w:bidi="fa-IR"/>
        </w:rPr>
        <w:t xml:space="preserve"> غ</w:t>
      </w:r>
      <w:r w:rsidRPr="00FF5A7E">
        <w:rPr>
          <w:rFonts w:hint="cs"/>
          <w:rtl/>
          <w:lang w:bidi="fa-IR"/>
        </w:rPr>
        <w:t>ی</w:t>
      </w:r>
      <w:r w:rsidRPr="00FF5A7E">
        <w:rPr>
          <w:rFonts w:hint="eastAsia"/>
          <w:rtl/>
          <w:lang w:bidi="fa-IR"/>
        </w:rPr>
        <w:t>ر</w:t>
      </w:r>
      <w:r w:rsidRPr="00FF5A7E">
        <w:rPr>
          <w:rtl/>
          <w:lang w:bidi="fa-IR"/>
        </w:rPr>
        <w:t xml:space="preserve"> اسلام</w:t>
      </w:r>
      <w:r w:rsidRPr="00FF5A7E">
        <w:rPr>
          <w:rFonts w:hint="cs"/>
          <w:rtl/>
          <w:lang w:bidi="fa-IR"/>
        </w:rPr>
        <w:t>ی</w:t>
      </w:r>
      <w:r w:rsidRPr="00FF5A7E">
        <w:rPr>
          <w:rtl/>
          <w:lang w:bidi="fa-IR"/>
        </w:rPr>
        <w:t xml:space="preserve"> امر</w:t>
      </w:r>
      <w:r w:rsidRPr="00FF5A7E">
        <w:rPr>
          <w:rFonts w:hint="cs"/>
          <w:rtl/>
          <w:lang w:bidi="fa-IR"/>
        </w:rPr>
        <w:t>ی</w:t>
      </w:r>
      <w:r w:rsidRPr="00FF5A7E">
        <w:rPr>
          <w:rtl/>
          <w:lang w:bidi="fa-IR"/>
        </w:rPr>
        <w:t xml:space="preserve"> عاد</w:t>
      </w:r>
      <w:r w:rsidRPr="00FF5A7E">
        <w:rPr>
          <w:rFonts w:hint="cs"/>
          <w:rtl/>
          <w:lang w:bidi="fa-IR"/>
        </w:rPr>
        <w:t>ی</w:t>
      </w:r>
      <w:r w:rsidRPr="00FF5A7E">
        <w:rPr>
          <w:rtl/>
          <w:lang w:bidi="fa-IR"/>
        </w:rPr>
        <w:t xml:space="preserve"> و مشروع تلق</w:t>
      </w:r>
      <w:r w:rsidRPr="00FF5A7E">
        <w:rPr>
          <w:rFonts w:hint="cs"/>
          <w:rtl/>
          <w:lang w:bidi="fa-IR"/>
        </w:rPr>
        <w:t>ی</w:t>
      </w:r>
      <w:r w:rsidRPr="00FF5A7E">
        <w:rPr>
          <w:rtl/>
          <w:lang w:bidi="fa-IR"/>
        </w:rPr>
        <w:t xml:space="preserve"> م</w:t>
      </w:r>
      <w:r w:rsidRPr="00FF5A7E">
        <w:rPr>
          <w:rFonts w:hint="cs"/>
          <w:rtl/>
          <w:lang w:bidi="fa-IR"/>
        </w:rPr>
        <w:t>ی‌</w:t>
      </w:r>
      <w:r w:rsidRPr="00FF5A7E">
        <w:rPr>
          <w:rFonts w:hint="eastAsia"/>
          <w:rtl/>
          <w:lang w:bidi="fa-IR"/>
        </w:rPr>
        <w:t>شود</w:t>
      </w:r>
      <w:r w:rsidR="00460683">
        <w:rPr>
          <w:rtl/>
          <w:lang w:bidi="fa-IR"/>
        </w:rPr>
        <w:t>.</w:t>
      </w:r>
      <w:r w:rsidR="00B121B7">
        <w:rPr>
          <w:rStyle w:val="FootnoteReference"/>
          <w:rtl/>
          <w:lang w:bidi="fa-IR"/>
        </w:rPr>
        <w:footnoteReference w:id="95"/>
      </w:r>
      <w:r w:rsidRPr="00FF5A7E">
        <w:rPr>
          <w:rtl/>
          <w:lang w:bidi="fa-IR"/>
        </w:rPr>
        <w:t xml:space="preserve"> همچن</w:t>
      </w:r>
      <w:r w:rsidRPr="00FF5A7E">
        <w:rPr>
          <w:rFonts w:hint="cs"/>
          <w:rtl/>
          <w:lang w:bidi="fa-IR"/>
        </w:rPr>
        <w:t>ی</w:t>
      </w:r>
      <w:r w:rsidRPr="00FF5A7E">
        <w:rPr>
          <w:rFonts w:hint="eastAsia"/>
          <w:rtl/>
          <w:lang w:bidi="fa-IR"/>
        </w:rPr>
        <w:t>ن</w:t>
      </w:r>
      <w:r w:rsidRPr="00FF5A7E">
        <w:rPr>
          <w:rtl/>
          <w:lang w:bidi="fa-IR"/>
        </w:rPr>
        <w:t xml:space="preserve"> برخ</w:t>
      </w:r>
      <w:r w:rsidRPr="00FF5A7E">
        <w:rPr>
          <w:rFonts w:hint="cs"/>
          <w:rtl/>
          <w:lang w:bidi="fa-IR"/>
        </w:rPr>
        <w:t>ی</w:t>
      </w:r>
      <w:r w:rsidRPr="00FF5A7E">
        <w:rPr>
          <w:rtl/>
          <w:lang w:bidi="fa-IR"/>
        </w:rPr>
        <w:t xml:space="preserve"> مفسر</w:t>
      </w:r>
      <w:r w:rsidRPr="00FF5A7E">
        <w:rPr>
          <w:rFonts w:hint="cs"/>
          <w:rtl/>
          <w:lang w:bidi="fa-IR"/>
        </w:rPr>
        <w:t>ی</w:t>
      </w:r>
      <w:r w:rsidRPr="00FF5A7E">
        <w:rPr>
          <w:rFonts w:hint="eastAsia"/>
          <w:rtl/>
          <w:lang w:bidi="fa-IR"/>
        </w:rPr>
        <w:t>ن</w:t>
      </w:r>
      <w:r w:rsidRPr="00FF5A7E">
        <w:rPr>
          <w:rtl/>
          <w:lang w:bidi="fa-IR"/>
        </w:rPr>
        <w:t xml:space="preserve"> ن</w:t>
      </w:r>
      <w:r w:rsidRPr="00FF5A7E">
        <w:rPr>
          <w:rFonts w:hint="cs"/>
          <w:rtl/>
          <w:lang w:bidi="fa-IR"/>
        </w:rPr>
        <w:t>ی</w:t>
      </w:r>
      <w:r w:rsidRPr="00FF5A7E">
        <w:rPr>
          <w:rFonts w:hint="eastAsia"/>
          <w:rtl/>
          <w:lang w:bidi="fa-IR"/>
        </w:rPr>
        <w:t>ز</w:t>
      </w:r>
      <w:r w:rsidRPr="00FF5A7E">
        <w:rPr>
          <w:rtl/>
          <w:lang w:bidi="fa-IR"/>
        </w:rPr>
        <w:t xml:space="preserve"> مفهوم نظم عموم</w:t>
      </w:r>
      <w:r w:rsidRPr="00FF5A7E">
        <w:rPr>
          <w:rFonts w:hint="cs"/>
          <w:rtl/>
          <w:lang w:bidi="fa-IR"/>
        </w:rPr>
        <w:t>ی</w:t>
      </w:r>
      <w:r w:rsidRPr="00FF5A7E">
        <w:rPr>
          <w:rtl/>
          <w:lang w:bidi="fa-IR"/>
        </w:rPr>
        <w:t xml:space="preserve"> در کشورها</w:t>
      </w:r>
      <w:r w:rsidRPr="00FF5A7E">
        <w:rPr>
          <w:rFonts w:hint="cs"/>
          <w:rtl/>
          <w:lang w:bidi="fa-IR"/>
        </w:rPr>
        <w:t>ی</w:t>
      </w:r>
      <w:r w:rsidR="00A46FD4">
        <w:rPr>
          <w:rtl/>
          <w:lang w:bidi="fa-IR"/>
        </w:rPr>
        <w:t xml:space="preserve"> نظام حقوق</w:t>
      </w:r>
      <w:r w:rsidR="00A46FD4">
        <w:rPr>
          <w:rFonts w:hint="cs"/>
          <w:rtl/>
          <w:lang w:bidi="fa-IR"/>
        </w:rPr>
        <w:t>ی موضوعه</w:t>
      </w:r>
      <w:r w:rsidRPr="00FF5A7E">
        <w:rPr>
          <w:rtl/>
          <w:lang w:bidi="fa-IR"/>
        </w:rPr>
        <w:t xml:space="preserve"> </w:t>
      </w:r>
      <w:r w:rsidRPr="00FF5A7E">
        <w:rPr>
          <w:rFonts w:hint="eastAsia"/>
          <w:rtl/>
          <w:lang w:bidi="fa-IR"/>
        </w:rPr>
        <w:t>را</w:t>
      </w:r>
      <w:r w:rsidRPr="00FF5A7E">
        <w:rPr>
          <w:rtl/>
          <w:lang w:bidi="fa-IR"/>
        </w:rPr>
        <w:t xml:space="preserve"> دارا</w:t>
      </w:r>
      <w:r w:rsidRPr="00FF5A7E">
        <w:rPr>
          <w:rFonts w:hint="cs"/>
          <w:rtl/>
          <w:lang w:bidi="fa-IR"/>
        </w:rPr>
        <w:t>ی</w:t>
      </w:r>
      <w:r w:rsidRPr="00FF5A7E">
        <w:rPr>
          <w:rtl/>
          <w:lang w:bidi="fa-IR"/>
        </w:rPr>
        <w:t xml:space="preserve"> قابل</w:t>
      </w:r>
      <w:r w:rsidRPr="00FF5A7E">
        <w:rPr>
          <w:rFonts w:hint="cs"/>
          <w:rtl/>
          <w:lang w:bidi="fa-IR"/>
        </w:rPr>
        <w:t>ی</w:t>
      </w:r>
      <w:r w:rsidRPr="00FF5A7E">
        <w:rPr>
          <w:rFonts w:hint="eastAsia"/>
          <w:rtl/>
          <w:lang w:bidi="fa-IR"/>
        </w:rPr>
        <w:t>ت</w:t>
      </w:r>
      <w:r w:rsidRPr="00FF5A7E">
        <w:rPr>
          <w:rtl/>
          <w:lang w:bidi="fa-IR"/>
        </w:rPr>
        <w:t xml:space="preserve"> اعمال وس</w:t>
      </w:r>
      <w:r w:rsidRPr="00FF5A7E">
        <w:rPr>
          <w:rFonts w:hint="cs"/>
          <w:rtl/>
          <w:lang w:bidi="fa-IR"/>
        </w:rPr>
        <w:t>ی</w:t>
      </w:r>
      <w:r w:rsidRPr="00FF5A7E">
        <w:rPr>
          <w:rFonts w:hint="eastAsia"/>
          <w:rtl/>
          <w:lang w:bidi="fa-IR"/>
        </w:rPr>
        <w:t>ع‌تر</w:t>
      </w:r>
      <w:r w:rsidRPr="00FF5A7E">
        <w:rPr>
          <w:rFonts w:hint="cs"/>
          <w:rtl/>
          <w:lang w:bidi="fa-IR"/>
        </w:rPr>
        <w:t>ی</w:t>
      </w:r>
      <w:r w:rsidR="00A46FD4">
        <w:rPr>
          <w:rtl/>
          <w:lang w:bidi="fa-IR"/>
        </w:rPr>
        <w:t xml:space="preserve"> به نسبت نظام‌</w:t>
      </w:r>
      <w:r w:rsidRPr="00FF5A7E">
        <w:rPr>
          <w:rtl/>
          <w:lang w:bidi="fa-IR"/>
        </w:rPr>
        <w:t xml:space="preserve"> حقوق</w:t>
      </w:r>
      <w:r w:rsidRPr="00FF5A7E">
        <w:rPr>
          <w:rFonts w:hint="cs"/>
          <w:rtl/>
          <w:lang w:bidi="fa-IR"/>
        </w:rPr>
        <w:t>ی</w:t>
      </w:r>
      <w:r w:rsidRPr="00FF5A7E">
        <w:rPr>
          <w:rtl/>
          <w:lang w:bidi="fa-IR"/>
        </w:rPr>
        <w:t xml:space="preserve"> کامن‌لا م</w:t>
      </w:r>
      <w:r w:rsidRPr="00FF5A7E">
        <w:rPr>
          <w:rFonts w:hint="cs"/>
          <w:rtl/>
          <w:lang w:bidi="fa-IR"/>
        </w:rPr>
        <w:t>ی‌</w:t>
      </w:r>
      <w:r w:rsidRPr="00FF5A7E">
        <w:rPr>
          <w:rFonts w:hint="eastAsia"/>
          <w:rtl/>
          <w:lang w:bidi="fa-IR"/>
        </w:rPr>
        <w:t>دانند</w:t>
      </w:r>
      <w:r w:rsidR="00460683">
        <w:rPr>
          <w:rFonts w:hint="cs"/>
          <w:rtl/>
          <w:lang w:bidi="fa-IR"/>
        </w:rPr>
        <w:t>.</w:t>
      </w:r>
    </w:p>
    <w:p w:rsidR="00FF5A7E" w:rsidRPr="00FF5A7E" w:rsidRDefault="00FF5A7E" w:rsidP="004C2DA3">
      <w:pPr>
        <w:bidi/>
        <w:spacing w:before="240"/>
        <w:ind w:firstLine="360"/>
        <w:jc w:val="mediumKashida"/>
        <w:rPr>
          <w:rtl/>
          <w:lang w:bidi="fa-IR"/>
        </w:rPr>
      </w:pPr>
      <w:r w:rsidRPr="00FF5A7E">
        <w:rPr>
          <w:rFonts w:hint="eastAsia"/>
          <w:rtl/>
          <w:lang w:bidi="fa-IR"/>
        </w:rPr>
        <w:t>دوم</w:t>
      </w:r>
      <w:r w:rsidRPr="00FF5A7E">
        <w:rPr>
          <w:rFonts w:hint="cs"/>
          <w:rtl/>
          <w:lang w:bidi="fa-IR"/>
        </w:rPr>
        <w:t>ی</w:t>
      </w:r>
      <w:r w:rsidRPr="00FF5A7E">
        <w:rPr>
          <w:rFonts w:hint="eastAsia"/>
          <w:rtl/>
          <w:lang w:bidi="fa-IR"/>
        </w:rPr>
        <w:t>ن</w:t>
      </w:r>
      <w:r w:rsidRPr="00FF5A7E">
        <w:rPr>
          <w:rtl/>
          <w:lang w:bidi="fa-IR"/>
        </w:rPr>
        <w:t xml:space="preserve"> نسب</w:t>
      </w:r>
      <w:r w:rsidRPr="00FF5A7E">
        <w:rPr>
          <w:rFonts w:hint="cs"/>
          <w:rtl/>
          <w:lang w:bidi="fa-IR"/>
        </w:rPr>
        <w:t>ی</w:t>
      </w:r>
      <w:r w:rsidRPr="00FF5A7E">
        <w:rPr>
          <w:rFonts w:hint="eastAsia"/>
          <w:rtl/>
          <w:lang w:bidi="fa-IR"/>
        </w:rPr>
        <w:t>ت</w:t>
      </w:r>
      <w:r w:rsidRPr="00FF5A7E">
        <w:rPr>
          <w:rtl/>
          <w:lang w:bidi="fa-IR"/>
        </w:rPr>
        <w:t xml:space="preserve"> در ا</w:t>
      </w:r>
      <w:r w:rsidRPr="00FF5A7E">
        <w:rPr>
          <w:rFonts w:hint="cs"/>
          <w:rtl/>
          <w:lang w:bidi="fa-IR"/>
        </w:rPr>
        <w:t>ی</w:t>
      </w:r>
      <w:r w:rsidRPr="00FF5A7E">
        <w:rPr>
          <w:rFonts w:hint="eastAsia"/>
          <w:rtl/>
          <w:lang w:bidi="fa-IR"/>
        </w:rPr>
        <w:t>ن</w:t>
      </w:r>
      <w:r w:rsidRPr="00FF5A7E">
        <w:rPr>
          <w:rtl/>
          <w:lang w:bidi="fa-IR"/>
        </w:rPr>
        <w:t xml:space="preserve"> خصوص مربوط به عامل زمان است و آن را «نسب</w:t>
      </w:r>
      <w:r w:rsidRPr="00FF5A7E">
        <w:rPr>
          <w:rFonts w:hint="cs"/>
          <w:rtl/>
          <w:lang w:bidi="fa-IR"/>
        </w:rPr>
        <w:t>ی</w:t>
      </w:r>
      <w:r w:rsidRPr="00FF5A7E">
        <w:rPr>
          <w:rFonts w:hint="eastAsia"/>
          <w:rtl/>
          <w:lang w:bidi="fa-IR"/>
        </w:rPr>
        <w:t>ت</w:t>
      </w:r>
      <w:r w:rsidRPr="00FF5A7E">
        <w:rPr>
          <w:rtl/>
          <w:lang w:bidi="fa-IR"/>
        </w:rPr>
        <w:t xml:space="preserve"> زمان</w:t>
      </w:r>
      <w:r w:rsidRPr="00FF5A7E">
        <w:rPr>
          <w:rFonts w:hint="cs"/>
          <w:rtl/>
          <w:lang w:bidi="fa-IR"/>
        </w:rPr>
        <w:t>ی</w:t>
      </w:r>
      <w:r w:rsidRPr="00FF5A7E">
        <w:rPr>
          <w:rFonts w:hint="eastAsia"/>
          <w:rtl/>
          <w:lang w:bidi="fa-IR"/>
        </w:rPr>
        <w:t>»</w:t>
      </w:r>
      <w:r w:rsidRPr="00FF5A7E">
        <w:rPr>
          <w:rtl/>
          <w:lang w:bidi="fa-IR"/>
        </w:rPr>
        <w:t xml:space="preserve"> نام</w:t>
      </w:r>
      <w:r w:rsidRPr="00FF5A7E">
        <w:rPr>
          <w:rFonts w:hint="cs"/>
          <w:rtl/>
          <w:lang w:bidi="fa-IR"/>
        </w:rPr>
        <w:t>ی</w:t>
      </w:r>
      <w:r w:rsidRPr="00FF5A7E">
        <w:rPr>
          <w:rFonts w:hint="eastAsia"/>
          <w:rtl/>
          <w:lang w:bidi="fa-IR"/>
        </w:rPr>
        <w:t>ده‌اند</w:t>
      </w:r>
      <w:r w:rsidRPr="00FF5A7E">
        <w:rPr>
          <w:rtl/>
          <w:lang w:bidi="fa-IR"/>
        </w:rPr>
        <w:t>. همان طور که اشاره شد ارزش‌ها و مع</w:t>
      </w:r>
      <w:r w:rsidRPr="00FF5A7E">
        <w:rPr>
          <w:rFonts w:hint="cs"/>
          <w:rtl/>
          <w:lang w:bidi="fa-IR"/>
        </w:rPr>
        <w:t>ی</w:t>
      </w:r>
      <w:r w:rsidRPr="00FF5A7E">
        <w:rPr>
          <w:rFonts w:hint="eastAsia"/>
          <w:rtl/>
          <w:lang w:bidi="fa-IR"/>
        </w:rPr>
        <w:t>ارها</w:t>
      </w:r>
      <w:r w:rsidRPr="00FF5A7E">
        <w:rPr>
          <w:rFonts w:hint="cs"/>
          <w:rtl/>
          <w:lang w:bidi="fa-IR"/>
        </w:rPr>
        <w:t>ی</w:t>
      </w:r>
      <w:r w:rsidRPr="00FF5A7E">
        <w:rPr>
          <w:rtl/>
          <w:lang w:bidi="fa-IR"/>
        </w:rPr>
        <w:t xml:space="preserve"> جوامع ثابت ن</w:t>
      </w:r>
      <w:r w:rsidRPr="00FF5A7E">
        <w:rPr>
          <w:rFonts w:hint="cs"/>
          <w:rtl/>
          <w:lang w:bidi="fa-IR"/>
        </w:rPr>
        <w:t>ی</w:t>
      </w:r>
      <w:r w:rsidRPr="00FF5A7E">
        <w:rPr>
          <w:rFonts w:hint="eastAsia"/>
          <w:rtl/>
          <w:lang w:bidi="fa-IR"/>
        </w:rPr>
        <w:t>ستند</w:t>
      </w:r>
      <w:r w:rsidRPr="00FF5A7E">
        <w:rPr>
          <w:rtl/>
          <w:lang w:bidi="fa-IR"/>
        </w:rPr>
        <w:t xml:space="preserve"> و در طول زمان تغ</w:t>
      </w:r>
      <w:r w:rsidRPr="00FF5A7E">
        <w:rPr>
          <w:rFonts w:hint="cs"/>
          <w:rtl/>
          <w:lang w:bidi="fa-IR"/>
        </w:rPr>
        <w:t>یی</w:t>
      </w:r>
      <w:r w:rsidRPr="00FF5A7E">
        <w:rPr>
          <w:rFonts w:hint="eastAsia"/>
          <w:rtl/>
          <w:lang w:bidi="fa-IR"/>
        </w:rPr>
        <w:t>ر</w:t>
      </w:r>
      <w:r w:rsidRPr="00FF5A7E">
        <w:rPr>
          <w:rtl/>
          <w:lang w:bidi="fa-IR"/>
        </w:rPr>
        <w:t xml:space="preserve"> م</w:t>
      </w:r>
      <w:r w:rsidRPr="00FF5A7E">
        <w:rPr>
          <w:rFonts w:hint="cs"/>
          <w:rtl/>
          <w:lang w:bidi="fa-IR"/>
        </w:rPr>
        <w:t>ی‌</w:t>
      </w:r>
      <w:r w:rsidRPr="00FF5A7E">
        <w:rPr>
          <w:rFonts w:hint="eastAsia"/>
          <w:rtl/>
          <w:lang w:bidi="fa-IR"/>
        </w:rPr>
        <w:t>کنند</w:t>
      </w:r>
      <w:r w:rsidRPr="00FF5A7E">
        <w:rPr>
          <w:rtl/>
          <w:lang w:bidi="fa-IR"/>
        </w:rPr>
        <w:t xml:space="preserve"> و به هم</w:t>
      </w:r>
      <w:r w:rsidRPr="00FF5A7E">
        <w:rPr>
          <w:rFonts w:hint="cs"/>
          <w:rtl/>
          <w:lang w:bidi="fa-IR"/>
        </w:rPr>
        <w:t>ی</w:t>
      </w:r>
      <w:r w:rsidRPr="00FF5A7E">
        <w:rPr>
          <w:rFonts w:hint="eastAsia"/>
          <w:rtl/>
          <w:lang w:bidi="fa-IR"/>
        </w:rPr>
        <w:t>ن</w:t>
      </w:r>
      <w:r w:rsidRPr="00FF5A7E">
        <w:rPr>
          <w:rtl/>
          <w:lang w:bidi="fa-IR"/>
        </w:rPr>
        <w:t xml:space="preserve"> سبب نظم عموم</w:t>
      </w:r>
      <w:r w:rsidRPr="00FF5A7E">
        <w:rPr>
          <w:rFonts w:hint="cs"/>
          <w:rtl/>
          <w:lang w:bidi="fa-IR"/>
        </w:rPr>
        <w:t>ی</w:t>
      </w:r>
      <w:r w:rsidRPr="00FF5A7E">
        <w:rPr>
          <w:rtl/>
          <w:lang w:bidi="fa-IR"/>
        </w:rPr>
        <w:t xml:space="preserve"> هم در زمان‌ها</w:t>
      </w:r>
      <w:r w:rsidRPr="00FF5A7E">
        <w:rPr>
          <w:rFonts w:hint="cs"/>
          <w:rtl/>
          <w:lang w:bidi="fa-IR"/>
        </w:rPr>
        <w:t>ی</w:t>
      </w:r>
      <w:r w:rsidRPr="00FF5A7E">
        <w:rPr>
          <w:rtl/>
          <w:lang w:bidi="fa-IR"/>
        </w:rPr>
        <w:t xml:space="preserve"> مختلف، متفاوت است. به هم</w:t>
      </w:r>
      <w:r w:rsidRPr="00FF5A7E">
        <w:rPr>
          <w:rFonts w:hint="cs"/>
          <w:rtl/>
          <w:lang w:bidi="fa-IR"/>
        </w:rPr>
        <w:t>ی</w:t>
      </w:r>
      <w:r w:rsidRPr="00FF5A7E">
        <w:rPr>
          <w:rFonts w:hint="eastAsia"/>
          <w:rtl/>
          <w:lang w:bidi="fa-IR"/>
        </w:rPr>
        <w:t>ن</w:t>
      </w:r>
      <w:r w:rsidRPr="00FF5A7E">
        <w:rPr>
          <w:rtl/>
          <w:lang w:bidi="fa-IR"/>
        </w:rPr>
        <w:t xml:space="preserve"> دل</w:t>
      </w:r>
      <w:r w:rsidRPr="00FF5A7E">
        <w:rPr>
          <w:rFonts w:hint="cs"/>
          <w:rtl/>
          <w:lang w:bidi="fa-IR"/>
        </w:rPr>
        <w:t>ی</w:t>
      </w:r>
      <w:r w:rsidRPr="00FF5A7E">
        <w:rPr>
          <w:rFonts w:hint="eastAsia"/>
          <w:rtl/>
          <w:lang w:bidi="fa-IR"/>
        </w:rPr>
        <w:t>ل</w:t>
      </w:r>
      <w:r w:rsidRPr="00FF5A7E">
        <w:rPr>
          <w:rtl/>
          <w:lang w:bidi="fa-IR"/>
        </w:rPr>
        <w:t xml:space="preserve"> ممکن است امر</w:t>
      </w:r>
      <w:r w:rsidRPr="00FF5A7E">
        <w:rPr>
          <w:rFonts w:hint="cs"/>
          <w:rtl/>
          <w:lang w:bidi="fa-IR"/>
        </w:rPr>
        <w:t>ی</w:t>
      </w:r>
      <w:r w:rsidRPr="00FF5A7E">
        <w:rPr>
          <w:rtl/>
          <w:lang w:bidi="fa-IR"/>
        </w:rPr>
        <w:t xml:space="preserve"> که ا</w:t>
      </w:r>
      <w:r w:rsidRPr="00FF5A7E">
        <w:rPr>
          <w:rFonts w:hint="eastAsia"/>
          <w:rtl/>
          <w:lang w:bidi="fa-IR"/>
        </w:rPr>
        <w:t>مروزه</w:t>
      </w:r>
      <w:r w:rsidRPr="00FF5A7E">
        <w:rPr>
          <w:rtl/>
          <w:lang w:bidi="fa-IR"/>
        </w:rPr>
        <w:t xml:space="preserve"> در </w:t>
      </w:r>
      <w:r w:rsidRPr="00FF5A7E">
        <w:rPr>
          <w:rFonts w:hint="cs"/>
          <w:rtl/>
          <w:lang w:bidi="fa-IR"/>
        </w:rPr>
        <w:t>ی</w:t>
      </w:r>
      <w:r w:rsidRPr="00FF5A7E">
        <w:rPr>
          <w:rFonts w:hint="eastAsia"/>
          <w:rtl/>
          <w:lang w:bidi="fa-IR"/>
        </w:rPr>
        <w:t>ک</w:t>
      </w:r>
      <w:r w:rsidRPr="00FF5A7E">
        <w:rPr>
          <w:rtl/>
          <w:lang w:bidi="fa-IR"/>
        </w:rPr>
        <w:t xml:space="preserve"> کشور خاص بر خلاف نظم عموم</w:t>
      </w:r>
      <w:r w:rsidRPr="00FF5A7E">
        <w:rPr>
          <w:rFonts w:hint="cs"/>
          <w:rtl/>
          <w:lang w:bidi="fa-IR"/>
        </w:rPr>
        <w:t>ی</w:t>
      </w:r>
      <w:r w:rsidRPr="00FF5A7E">
        <w:rPr>
          <w:rtl/>
          <w:lang w:bidi="fa-IR"/>
        </w:rPr>
        <w:t xml:space="preserve"> تلق</w:t>
      </w:r>
      <w:r w:rsidRPr="00FF5A7E">
        <w:rPr>
          <w:rFonts w:hint="cs"/>
          <w:rtl/>
          <w:lang w:bidi="fa-IR"/>
        </w:rPr>
        <w:t>ی</w:t>
      </w:r>
      <w:r w:rsidRPr="00FF5A7E">
        <w:rPr>
          <w:rtl/>
          <w:lang w:bidi="fa-IR"/>
        </w:rPr>
        <w:t xml:space="preserve"> م</w:t>
      </w:r>
      <w:r w:rsidRPr="00FF5A7E">
        <w:rPr>
          <w:rFonts w:hint="cs"/>
          <w:rtl/>
          <w:lang w:bidi="fa-IR"/>
        </w:rPr>
        <w:t>ی‌</w:t>
      </w:r>
      <w:r w:rsidRPr="00FF5A7E">
        <w:rPr>
          <w:rFonts w:hint="eastAsia"/>
          <w:rtl/>
          <w:lang w:bidi="fa-IR"/>
        </w:rPr>
        <w:t>شود،</w:t>
      </w:r>
      <w:r w:rsidRPr="00FF5A7E">
        <w:rPr>
          <w:rtl/>
          <w:lang w:bidi="fa-IR"/>
        </w:rPr>
        <w:t xml:space="preserve"> چند</w:t>
      </w:r>
      <w:r w:rsidRPr="00FF5A7E">
        <w:rPr>
          <w:rFonts w:hint="cs"/>
          <w:rtl/>
          <w:lang w:bidi="fa-IR"/>
        </w:rPr>
        <w:t>ی</w:t>
      </w:r>
      <w:r w:rsidRPr="00FF5A7E">
        <w:rPr>
          <w:rFonts w:hint="eastAsia"/>
          <w:rtl/>
          <w:lang w:bidi="fa-IR"/>
        </w:rPr>
        <w:t>ن</w:t>
      </w:r>
      <w:r w:rsidRPr="00FF5A7E">
        <w:rPr>
          <w:rtl/>
          <w:lang w:bidi="fa-IR"/>
        </w:rPr>
        <w:t xml:space="preserve"> سال بعد امر</w:t>
      </w:r>
      <w:r w:rsidRPr="00FF5A7E">
        <w:rPr>
          <w:rFonts w:hint="cs"/>
          <w:rtl/>
          <w:lang w:bidi="fa-IR"/>
        </w:rPr>
        <w:t>ی</w:t>
      </w:r>
      <w:r w:rsidRPr="00FF5A7E">
        <w:rPr>
          <w:rtl/>
          <w:lang w:bidi="fa-IR"/>
        </w:rPr>
        <w:t xml:space="preserve"> عاد</w:t>
      </w:r>
      <w:r w:rsidRPr="00FF5A7E">
        <w:rPr>
          <w:rFonts w:hint="cs"/>
          <w:rtl/>
          <w:lang w:bidi="fa-IR"/>
        </w:rPr>
        <w:t>ی</w:t>
      </w:r>
      <w:r w:rsidRPr="00FF5A7E">
        <w:rPr>
          <w:rtl/>
          <w:lang w:bidi="fa-IR"/>
        </w:rPr>
        <w:t xml:space="preserve"> محسوب گردد </w:t>
      </w:r>
      <w:r w:rsidRPr="00FF5A7E">
        <w:rPr>
          <w:rFonts w:hint="cs"/>
          <w:rtl/>
          <w:lang w:bidi="fa-IR"/>
        </w:rPr>
        <w:t>ی</w:t>
      </w:r>
      <w:r w:rsidRPr="00FF5A7E">
        <w:rPr>
          <w:rFonts w:hint="eastAsia"/>
          <w:rtl/>
          <w:lang w:bidi="fa-IR"/>
        </w:rPr>
        <w:t>ا</w:t>
      </w:r>
      <w:r w:rsidRPr="00FF5A7E">
        <w:rPr>
          <w:rtl/>
          <w:lang w:bidi="fa-IR"/>
        </w:rPr>
        <w:t xml:space="preserve"> بلعکس</w:t>
      </w:r>
      <w:r w:rsidR="00F15703">
        <w:rPr>
          <w:rFonts w:hint="cs"/>
          <w:rtl/>
          <w:lang w:bidi="fa-IR"/>
        </w:rPr>
        <w:t>.</w:t>
      </w:r>
      <w:r w:rsidR="00F15703">
        <w:rPr>
          <w:rStyle w:val="FootnoteReference"/>
          <w:rtl/>
          <w:lang w:bidi="fa-IR"/>
        </w:rPr>
        <w:footnoteReference w:id="96"/>
      </w:r>
      <w:r w:rsidRPr="00FF5A7E">
        <w:rPr>
          <w:lang w:bidi="fa-IR"/>
        </w:rPr>
        <w:t xml:space="preserve"> </w:t>
      </w:r>
    </w:p>
    <w:p w:rsidR="00FF5A7E" w:rsidRPr="00FF5A7E" w:rsidRDefault="00FF5A7E" w:rsidP="004C2DA3">
      <w:pPr>
        <w:bidi/>
        <w:spacing w:before="240"/>
        <w:ind w:firstLine="360"/>
        <w:jc w:val="mediumKashida"/>
        <w:rPr>
          <w:rtl/>
          <w:lang w:bidi="fa-IR"/>
        </w:rPr>
      </w:pPr>
      <w:r w:rsidRPr="00FF5A7E">
        <w:rPr>
          <w:rFonts w:hint="eastAsia"/>
          <w:rtl/>
          <w:lang w:bidi="fa-IR"/>
        </w:rPr>
        <w:lastRenderedPageBreak/>
        <w:t>متغ</w:t>
      </w:r>
      <w:r w:rsidRPr="00FF5A7E">
        <w:rPr>
          <w:rFonts w:hint="cs"/>
          <w:rtl/>
          <w:lang w:bidi="fa-IR"/>
        </w:rPr>
        <w:t>ی</w:t>
      </w:r>
      <w:r w:rsidRPr="00FF5A7E">
        <w:rPr>
          <w:rFonts w:hint="eastAsia"/>
          <w:rtl/>
          <w:lang w:bidi="fa-IR"/>
        </w:rPr>
        <w:t>ر</w:t>
      </w:r>
      <w:r w:rsidRPr="00FF5A7E">
        <w:rPr>
          <w:rtl/>
          <w:lang w:bidi="fa-IR"/>
        </w:rPr>
        <w:t xml:space="preserve"> بودن نظم عموم</w:t>
      </w:r>
      <w:r w:rsidRPr="00FF5A7E">
        <w:rPr>
          <w:rFonts w:hint="cs"/>
          <w:rtl/>
          <w:lang w:bidi="fa-IR"/>
        </w:rPr>
        <w:t>ی</w:t>
      </w:r>
      <w:r w:rsidRPr="00FF5A7E">
        <w:rPr>
          <w:rtl/>
          <w:lang w:bidi="fa-IR"/>
        </w:rPr>
        <w:t xml:space="preserve"> به اقتضا</w:t>
      </w:r>
      <w:r w:rsidRPr="00FF5A7E">
        <w:rPr>
          <w:rFonts w:hint="cs"/>
          <w:rtl/>
          <w:lang w:bidi="fa-IR"/>
        </w:rPr>
        <w:t>ی</w:t>
      </w:r>
      <w:r w:rsidRPr="00FF5A7E">
        <w:rPr>
          <w:rtl/>
          <w:lang w:bidi="fa-IR"/>
        </w:rPr>
        <w:t xml:space="preserve"> زمان و مکان امر</w:t>
      </w:r>
      <w:r w:rsidRPr="00FF5A7E">
        <w:rPr>
          <w:rFonts w:hint="cs"/>
          <w:rtl/>
          <w:lang w:bidi="fa-IR"/>
        </w:rPr>
        <w:t>ی</w:t>
      </w:r>
      <w:r w:rsidRPr="00FF5A7E">
        <w:rPr>
          <w:rtl/>
          <w:lang w:bidi="fa-IR"/>
        </w:rPr>
        <w:t xml:space="preserve"> است مسلم؛ در ادامه برا</w:t>
      </w:r>
      <w:r w:rsidRPr="00FF5A7E">
        <w:rPr>
          <w:rFonts w:hint="cs"/>
          <w:rtl/>
          <w:lang w:bidi="fa-IR"/>
        </w:rPr>
        <w:t>ی</w:t>
      </w:r>
      <w:r w:rsidRPr="00FF5A7E">
        <w:rPr>
          <w:rtl/>
          <w:lang w:bidi="fa-IR"/>
        </w:rPr>
        <w:t xml:space="preserve"> تب</w:t>
      </w:r>
      <w:r w:rsidRPr="00FF5A7E">
        <w:rPr>
          <w:rFonts w:hint="cs"/>
          <w:rtl/>
          <w:lang w:bidi="fa-IR"/>
        </w:rPr>
        <w:t>یی</w:t>
      </w:r>
      <w:r w:rsidRPr="00FF5A7E">
        <w:rPr>
          <w:rFonts w:hint="eastAsia"/>
          <w:rtl/>
          <w:lang w:bidi="fa-IR"/>
        </w:rPr>
        <w:t>ن</w:t>
      </w:r>
      <w:r w:rsidRPr="00FF5A7E">
        <w:rPr>
          <w:rtl/>
          <w:lang w:bidi="fa-IR"/>
        </w:rPr>
        <w:t xml:space="preserve"> ب</w:t>
      </w:r>
      <w:r w:rsidRPr="00FF5A7E">
        <w:rPr>
          <w:rFonts w:hint="cs"/>
          <w:rtl/>
          <w:lang w:bidi="fa-IR"/>
        </w:rPr>
        <w:t>ی</w:t>
      </w:r>
      <w:r w:rsidRPr="00FF5A7E">
        <w:rPr>
          <w:rFonts w:hint="eastAsia"/>
          <w:rtl/>
          <w:lang w:bidi="fa-IR"/>
        </w:rPr>
        <w:t>شتر</w:t>
      </w:r>
      <w:r w:rsidRPr="00FF5A7E">
        <w:rPr>
          <w:rtl/>
          <w:lang w:bidi="fa-IR"/>
        </w:rPr>
        <w:t xml:space="preserve"> ا</w:t>
      </w:r>
      <w:r w:rsidRPr="00FF5A7E">
        <w:rPr>
          <w:rFonts w:hint="cs"/>
          <w:rtl/>
          <w:lang w:bidi="fa-IR"/>
        </w:rPr>
        <w:t>ی</w:t>
      </w:r>
      <w:r w:rsidRPr="00FF5A7E">
        <w:rPr>
          <w:rFonts w:hint="eastAsia"/>
          <w:rtl/>
          <w:lang w:bidi="fa-IR"/>
        </w:rPr>
        <w:t>ن</w:t>
      </w:r>
      <w:r w:rsidRPr="00FF5A7E">
        <w:rPr>
          <w:rtl/>
          <w:lang w:bidi="fa-IR"/>
        </w:rPr>
        <w:t xml:space="preserve"> موضوع به </w:t>
      </w:r>
      <w:r w:rsidRPr="00FF5A7E">
        <w:rPr>
          <w:rFonts w:hint="cs"/>
          <w:rtl/>
          <w:lang w:bidi="fa-IR"/>
        </w:rPr>
        <w:t>ی</w:t>
      </w:r>
      <w:r w:rsidRPr="00FF5A7E">
        <w:rPr>
          <w:rFonts w:hint="eastAsia"/>
          <w:rtl/>
          <w:lang w:bidi="fa-IR"/>
        </w:rPr>
        <w:t>ک</w:t>
      </w:r>
      <w:r w:rsidRPr="00FF5A7E">
        <w:rPr>
          <w:rFonts w:hint="cs"/>
          <w:rtl/>
          <w:lang w:bidi="fa-IR"/>
        </w:rPr>
        <w:t>ی</w:t>
      </w:r>
      <w:r w:rsidRPr="00FF5A7E">
        <w:rPr>
          <w:rtl/>
          <w:lang w:bidi="fa-IR"/>
        </w:rPr>
        <w:t xml:space="preserve"> از آراء د</w:t>
      </w:r>
      <w:r w:rsidRPr="00FF5A7E">
        <w:rPr>
          <w:rFonts w:hint="cs"/>
          <w:rtl/>
          <w:lang w:bidi="fa-IR"/>
        </w:rPr>
        <w:t>ی</w:t>
      </w:r>
      <w:r w:rsidRPr="00FF5A7E">
        <w:rPr>
          <w:rFonts w:hint="eastAsia"/>
          <w:rtl/>
          <w:lang w:bidi="fa-IR"/>
        </w:rPr>
        <w:t>وان</w:t>
      </w:r>
      <w:r w:rsidRPr="00FF5A7E">
        <w:rPr>
          <w:rtl/>
          <w:lang w:bidi="fa-IR"/>
        </w:rPr>
        <w:t xml:space="preserve"> دادگستر</w:t>
      </w:r>
      <w:r w:rsidRPr="00FF5A7E">
        <w:rPr>
          <w:rFonts w:hint="cs"/>
          <w:rtl/>
          <w:lang w:bidi="fa-IR"/>
        </w:rPr>
        <w:t>ی</w:t>
      </w:r>
      <w:r w:rsidRPr="00FF5A7E">
        <w:rPr>
          <w:rtl/>
          <w:lang w:bidi="fa-IR"/>
        </w:rPr>
        <w:t xml:space="preserve"> اروپا اشاره م</w:t>
      </w:r>
      <w:r w:rsidRPr="00FF5A7E">
        <w:rPr>
          <w:rFonts w:hint="cs"/>
          <w:rtl/>
          <w:lang w:bidi="fa-IR"/>
        </w:rPr>
        <w:t>ی‌</w:t>
      </w:r>
      <w:r w:rsidRPr="00FF5A7E">
        <w:rPr>
          <w:rFonts w:hint="eastAsia"/>
          <w:rtl/>
          <w:lang w:bidi="fa-IR"/>
        </w:rPr>
        <w:t>شود</w:t>
      </w:r>
      <w:r w:rsidRPr="00FF5A7E">
        <w:rPr>
          <w:rtl/>
          <w:lang w:bidi="fa-IR"/>
        </w:rPr>
        <w:t xml:space="preserve"> که ضمن آن تصر</w:t>
      </w:r>
      <w:r w:rsidRPr="00FF5A7E">
        <w:rPr>
          <w:rFonts w:hint="cs"/>
          <w:rtl/>
          <w:lang w:bidi="fa-IR"/>
        </w:rPr>
        <w:t>ی</w:t>
      </w:r>
      <w:r w:rsidRPr="00FF5A7E">
        <w:rPr>
          <w:rFonts w:hint="eastAsia"/>
          <w:rtl/>
          <w:lang w:bidi="fa-IR"/>
        </w:rPr>
        <w:t>ح</w:t>
      </w:r>
      <w:r w:rsidRPr="00FF5A7E">
        <w:rPr>
          <w:rtl/>
          <w:lang w:bidi="fa-IR"/>
        </w:rPr>
        <w:t xml:space="preserve"> شده: «نظم عموم</w:t>
      </w:r>
      <w:r w:rsidRPr="00FF5A7E">
        <w:rPr>
          <w:rFonts w:hint="cs"/>
          <w:rtl/>
          <w:lang w:bidi="fa-IR"/>
        </w:rPr>
        <w:t>ی</w:t>
      </w:r>
      <w:r w:rsidRPr="00FF5A7E">
        <w:rPr>
          <w:rtl/>
          <w:lang w:bidi="fa-IR"/>
        </w:rPr>
        <w:t xml:space="preserve"> مفهوم</w:t>
      </w:r>
      <w:r w:rsidRPr="00FF5A7E">
        <w:rPr>
          <w:rFonts w:hint="cs"/>
          <w:rtl/>
          <w:lang w:bidi="fa-IR"/>
        </w:rPr>
        <w:t>ی</w:t>
      </w:r>
      <w:r w:rsidRPr="00FF5A7E">
        <w:rPr>
          <w:rtl/>
          <w:lang w:bidi="fa-IR"/>
        </w:rPr>
        <w:t xml:space="preserve"> سرزم</w:t>
      </w:r>
      <w:r w:rsidRPr="00FF5A7E">
        <w:rPr>
          <w:rFonts w:hint="cs"/>
          <w:rtl/>
          <w:lang w:bidi="fa-IR"/>
        </w:rPr>
        <w:t>ی</w:t>
      </w:r>
      <w:r w:rsidRPr="00FF5A7E">
        <w:rPr>
          <w:rFonts w:hint="eastAsia"/>
          <w:rtl/>
          <w:lang w:bidi="fa-IR"/>
        </w:rPr>
        <w:t>ن</w:t>
      </w:r>
      <w:r w:rsidRPr="00FF5A7E">
        <w:rPr>
          <w:rFonts w:hint="cs"/>
          <w:rtl/>
          <w:lang w:bidi="fa-IR"/>
        </w:rPr>
        <w:t>ی</w:t>
      </w:r>
      <w:r w:rsidRPr="00FF5A7E">
        <w:rPr>
          <w:rtl/>
          <w:lang w:bidi="fa-IR"/>
        </w:rPr>
        <w:t xml:space="preserve"> دارد(</w:t>
      </w:r>
      <w:r w:rsidRPr="00FF5A7E">
        <w:rPr>
          <w:rFonts w:hint="cs"/>
          <w:rtl/>
          <w:lang w:bidi="fa-IR"/>
        </w:rPr>
        <w:t>ی</w:t>
      </w:r>
      <w:r w:rsidRPr="00FF5A7E">
        <w:rPr>
          <w:rFonts w:hint="eastAsia"/>
          <w:rtl/>
          <w:lang w:bidi="fa-IR"/>
        </w:rPr>
        <w:t>عن</w:t>
      </w:r>
      <w:r w:rsidRPr="00FF5A7E">
        <w:rPr>
          <w:rFonts w:hint="cs"/>
          <w:rtl/>
          <w:lang w:bidi="fa-IR"/>
        </w:rPr>
        <w:t>ی</w:t>
      </w:r>
      <w:r w:rsidRPr="00FF5A7E">
        <w:rPr>
          <w:rtl/>
          <w:lang w:bidi="fa-IR"/>
        </w:rPr>
        <w:t xml:space="preserve"> نظم عموم</w:t>
      </w:r>
      <w:r w:rsidRPr="00FF5A7E">
        <w:rPr>
          <w:rFonts w:hint="cs"/>
          <w:rtl/>
          <w:lang w:bidi="fa-IR"/>
        </w:rPr>
        <w:t>ی</w:t>
      </w:r>
      <w:r w:rsidRPr="00FF5A7E">
        <w:rPr>
          <w:rtl/>
          <w:lang w:bidi="fa-IR"/>
        </w:rPr>
        <w:t xml:space="preserve"> خاص برا</w:t>
      </w:r>
      <w:r w:rsidRPr="00FF5A7E">
        <w:rPr>
          <w:rFonts w:hint="cs"/>
          <w:rtl/>
          <w:lang w:bidi="fa-IR"/>
        </w:rPr>
        <w:t>ی</w:t>
      </w:r>
      <w:r w:rsidRPr="00FF5A7E">
        <w:rPr>
          <w:rtl/>
          <w:lang w:bidi="fa-IR"/>
        </w:rPr>
        <w:t xml:space="preserve"> هر کشور عضو) که ممکن است در طول زمان </w:t>
      </w:r>
      <w:r w:rsidRPr="00FF5A7E">
        <w:rPr>
          <w:rFonts w:hint="eastAsia"/>
          <w:rtl/>
          <w:lang w:bidi="fa-IR"/>
        </w:rPr>
        <w:t>متحول</w:t>
      </w:r>
      <w:r w:rsidRPr="00FF5A7E">
        <w:rPr>
          <w:rtl/>
          <w:lang w:bidi="fa-IR"/>
        </w:rPr>
        <w:t xml:space="preserve"> شود.» د</w:t>
      </w:r>
      <w:r w:rsidRPr="00FF5A7E">
        <w:rPr>
          <w:rFonts w:hint="cs"/>
          <w:rtl/>
          <w:lang w:bidi="fa-IR"/>
        </w:rPr>
        <w:t>ی</w:t>
      </w:r>
      <w:r w:rsidRPr="00FF5A7E">
        <w:rPr>
          <w:rFonts w:hint="eastAsia"/>
          <w:rtl/>
          <w:lang w:bidi="fa-IR"/>
        </w:rPr>
        <w:t>وان</w:t>
      </w:r>
      <w:r w:rsidRPr="00FF5A7E">
        <w:rPr>
          <w:rtl/>
          <w:lang w:bidi="fa-IR"/>
        </w:rPr>
        <w:t xml:space="preserve"> دادگستر</w:t>
      </w:r>
      <w:r w:rsidRPr="00FF5A7E">
        <w:rPr>
          <w:rFonts w:hint="cs"/>
          <w:rtl/>
          <w:lang w:bidi="fa-IR"/>
        </w:rPr>
        <w:t>ی</w:t>
      </w:r>
      <w:r w:rsidRPr="00FF5A7E">
        <w:rPr>
          <w:rtl/>
          <w:lang w:bidi="fa-IR"/>
        </w:rPr>
        <w:t xml:space="preserve"> اروپا تصد</w:t>
      </w:r>
      <w:r w:rsidRPr="00FF5A7E">
        <w:rPr>
          <w:rFonts w:hint="cs"/>
          <w:rtl/>
          <w:lang w:bidi="fa-IR"/>
        </w:rPr>
        <w:t>ی</w:t>
      </w:r>
      <w:r w:rsidRPr="00FF5A7E">
        <w:rPr>
          <w:rFonts w:hint="eastAsia"/>
          <w:rtl/>
          <w:lang w:bidi="fa-IR"/>
        </w:rPr>
        <w:t>ق</w:t>
      </w:r>
      <w:r w:rsidRPr="00FF5A7E">
        <w:rPr>
          <w:rtl/>
          <w:lang w:bidi="fa-IR"/>
        </w:rPr>
        <w:t xml:space="preserve"> کرد: «کشورها</w:t>
      </w:r>
      <w:r w:rsidRPr="00FF5A7E">
        <w:rPr>
          <w:rFonts w:hint="cs"/>
          <w:rtl/>
          <w:lang w:bidi="fa-IR"/>
        </w:rPr>
        <w:t>ی</w:t>
      </w:r>
      <w:r w:rsidRPr="00FF5A7E">
        <w:rPr>
          <w:rtl/>
          <w:lang w:bidi="fa-IR"/>
        </w:rPr>
        <w:t xml:space="preserve"> عضو م</w:t>
      </w:r>
      <w:r w:rsidRPr="00FF5A7E">
        <w:rPr>
          <w:rFonts w:hint="cs"/>
          <w:rtl/>
          <w:lang w:bidi="fa-IR"/>
        </w:rPr>
        <w:t>ی‌</w:t>
      </w:r>
      <w:r w:rsidRPr="00FF5A7E">
        <w:rPr>
          <w:rFonts w:hint="eastAsia"/>
          <w:rtl/>
          <w:lang w:bidi="fa-IR"/>
        </w:rPr>
        <w:t>توانند</w:t>
      </w:r>
      <w:r w:rsidRPr="00FF5A7E">
        <w:rPr>
          <w:rtl/>
          <w:lang w:bidi="fa-IR"/>
        </w:rPr>
        <w:t xml:space="preserve"> مفهوم نظم عموم</w:t>
      </w:r>
      <w:r w:rsidRPr="00FF5A7E">
        <w:rPr>
          <w:rFonts w:hint="cs"/>
          <w:rtl/>
          <w:lang w:bidi="fa-IR"/>
        </w:rPr>
        <w:t>ی</w:t>
      </w:r>
      <w:r w:rsidRPr="00FF5A7E">
        <w:rPr>
          <w:rtl/>
          <w:lang w:bidi="fa-IR"/>
        </w:rPr>
        <w:t xml:space="preserve"> خود را تغ</w:t>
      </w:r>
      <w:r w:rsidRPr="00FF5A7E">
        <w:rPr>
          <w:rFonts w:hint="cs"/>
          <w:rtl/>
          <w:lang w:bidi="fa-IR"/>
        </w:rPr>
        <w:t>یی</w:t>
      </w:r>
      <w:r w:rsidRPr="00FF5A7E">
        <w:rPr>
          <w:rFonts w:hint="eastAsia"/>
          <w:rtl/>
          <w:lang w:bidi="fa-IR"/>
        </w:rPr>
        <w:t>ر</w:t>
      </w:r>
      <w:r w:rsidRPr="00FF5A7E">
        <w:rPr>
          <w:rtl/>
          <w:lang w:bidi="fa-IR"/>
        </w:rPr>
        <w:t xml:space="preserve"> دهند، همان‌گونه که چن</w:t>
      </w:r>
      <w:r w:rsidRPr="00FF5A7E">
        <w:rPr>
          <w:rFonts w:hint="cs"/>
          <w:rtl/>
          <w:lang w:bidi="fa-IR"/>
        </w:rPr>
        <w:t>ی</w:t>
      </w:r>
      <w:r w:rsidRPr="00FF5A7E">
        <w:rPr>
          <w:rFonts w:hint="eastAsia"/>
          <w:rtl/>
          <w:lang w:bidi="fa-IR"/>
        </w:rPr>
        <w:t>ن</w:t>
      </w:r>
      <w:r w:rsidRPr="00FF5A7E">
        <w:rPr>
          <w:rtl/>
          <w:lang w:bidi="fa-IR"/>
        </w:rPr>
        <w:t xml:space="preserve"> تغ</w:t>
      </w:r>
      <w:r w:rsidRPr="00FF5A7E">
        <w:rPr>
          <w:rFonts w:hint="cs"/>
          <w:rtl/>
          <w:lang w:bidi="fa-IR"/>
        </w:rPr>
        <w:t>یی</w:t>
      </w:r>
      <w:r w:rsidRPr="00FF5A7E">
        <w:rPr>
          <w:rFonts w:hint="eastAsia"/>
          <w:rtl/>
          <w:lang w:bidi="fa-IR"/>
        </w:rPr>
        <w:t>ر</w:t>
      </w:r>
      <w:r w:rsidRPr="00FF5A7E">
        <w:rPr>
          <w:rFonts w:hint="cs"/>
          <w:rtl/>
          <w:lang w:bidi="fa-IR"/>
        </w:rPr>
        <w:t>ی</w:t>
      </w:r>
      <w:r w:rsidRPr="00FF5A7E">
        <w:rPr>
          <w:rtl/>
          <w:lang w:bidi="fa-IR"/>
        </w:rPr>
        <w:t xml:space="preserve"> با تحول اعضا</w:t>
      </w:r>
      <w:r w:rsidRPr="00FF5A7E">
        <w:rPr>
          <w:rFonts w:hint="cs"/>
          <w:rtl/>
          <w:lang w:bidi="fa-IR"/>
        </w:rPr>
        <w:t>ی</w:t>
      </w:r>
      <w:r w:rsidRPr="00FF5A7E">
        <w:rPr>
          <w:rtl/>
          <w:lang w:bidi="fa-IR"/>
        </w:rPr>
        <w:t xml:space="preserve"> جامعه و فعال</w:t>
      </w:r>
      <w:r w:rsidRPr="00FF5A7E">
        <w:rPr>
          <w:rFonts w:hint="cs"/>
          <w:rtl/>
          <w:lang w:bidi="fa-IR"/>
        </w:rPr>
        <w:t>ی</w:t>
      </w:r>
      <w:r w:rsidRPr="00FF5A7E">
        <w:rPr>
          <w:rFonts w:hint="eastAsia"/>
          <w:rtl/>
          <w:lang w:bidi="fa-IR"/>
        </w:rPr>
        <w:t>ت‌ها</w:t>
      </w:r>
      <w:r w:rsidRPr="00FF5A7E">
        <w:rPr>
          <w:rFonts w:hint="cs"/>
          <w:rtl/>
          <w:lang w:bidi="fa-IR"/>
        </w:rPr>
        <w:t>ی</w:t>
      </w:r>
      <w:r w:rsidRPr="00FF5A7E">
        <w:rPr>
          <w:rFonts w:hint="eastAsia"/>
          <w:rtl/>
          <w:lang w:bidi="fa-IR"/>
        </w:rPr>
        <w:t>شان</w:t>
      </w:r>
      <w:r w:rsidRPr="00FF5A7E">
        <w:rPr>
          <w:rtl/>
          <w:lang w:bidi="fa-IR"/>
        </w:rPr>
        <w:t xml:space="preserve"> ممکن است ضرور</w:t>
      </w:r>
      <w:r w:rsidRPr="00FF5A7E">
        <w:rPr>
          <w:rFonts w:hint="cs"/>
          <w:rtl/>
          <w:lang w:bidi="fa-IR"/>
        </w:rPr>
        <w:t>ی</w:t>
      </w:r>
      <w:r w:rsidRPr="00FF5A7E">
        <w:rPr>
          <w:rtl/>
          <w:lang w:bidi="fa-IR"/>
        </w:rPr>
        <w:t xml:space="preserve"> باشد. به ا</w:t>
      </w:r>
      <w:r w:rsidRPr="00FF5A7E">
        <w:rPr>
          <w:rFonts w:hint="cs"/>
          <w:rtl/>
          <w:lang w:bidi="fa-IR"/>
        </w:rPr>
        <w:t>ی</w:t>
      </w:r>
      <w:r w:rsidRPr="00FF5A7E">
        <w:rPr>
          <w:rFonts w:hint="eastAsia"/>
          <w:rtl/>
          <w:lang w:bidi="fa-IR"/>
        </w:rPr>
        <w:t>ن</w:t>
      </w:r>
      <w:r w:rsidRPr="00FF5A7E">
        <w:rPr>
          <w:rtl/>
          <w:lang w:bidi="fa-IR"/>
        </w:rPr>
        <w:t xml:space="preserve"> خاطر است که ما معمولاً م</w:t>
      </w:r>
      <w:r w:rsidRPr="00FF5A7E">
        <w:rPr>
          <w:rFonts w:hint="cs"/>
          <w:rtl/>
          <w:lang w:bidi="fa-IR"/>
        </w:rPr>
        <w:t>ی‌</w:t>
      </w:r>
      <w:r w:rsidRPr="00FF5A7E">
        <w:rPr>
          <w:rFonts w:hint="eastAsia"/>
          <w:rtl/>
          <w:lang w:bidi="fa-IR"/>
        </w:rPr>
        <w:t>گو</w:t>
      </w:r>
      <w:r w:rsidRPr="00FF5A7E">
        <w:rPr>
          <w:rFonts w:hint="cs"/>
          <w:rtl/>
          <w:lang w:bidi="fa-IR"/>
        </w:rPr>
        <w:t>یی</w:t>
      </w:r>
      <w:r w:rsidRPr="00FF5A7E">
        <w:rPr>
          <w:rFonts w:hint="eastAsia"/>
          <w:rtl/>
          <w:lang w:bidi="fa-IR"/>
        </w:rPr>
        <w:t>م</w:t>
      </w:r>
      <w:r w:rsidRPr="00FF5A7E">
        <w:rPr>
          <w:rtl/>
          <w:lang w:bidi="fa-IR"/>
        </w:rPr>
        <w:t xml:space="preserve"> که نظم عموم</w:t>
      </w:r>
      <w:r w:rsidRPr="00FF5A7E">
        <w:rPr>
          <w:rFonts w:hint="cs"/>
          <w:rtl/>
          <w:lang w:bidi="fa-IR"/>
        </w:rPr>
        <w:t>ی</w:t>
      </w:r>
      <w:r w:rsidRPr="00FF5A7E">
        <w:rPr>
          <w:rtl/>
          <w:lang w:bidi="fa-IR"/>
        </w:rPr>
        <w:t xml:space="preserve"> نه تنها </w:t>
      </w:r>
      <w:r w:rsidRPr="00FF5A7E">
        <w:rPr>
          <w:rFonts w:hint="cs"/>
          <w:rtl/>
          <w:lang w:bidi="fa-IR"/>
        </w:rPr>
        <w:t>ی</w:t>
      </w:r>
      <w:r w:rsidRPr="00FF5A7E">
        <w:rPr>
          <w:rFonts w:hint="eastAsia"/>
          <w:rtl/>
          <w:lang w:bidi="fa-IR"/>
        </w:rPr>
        <w:t>ک</w:t>
      </w:r>
      <w:r w:rsidRPr="00FF5A7E">
        <w:rPr>
          <w:rtl/>
          <w:lang w:bidi="fa-IR"/>
        </w:rPr>
        <w:t xml:space="preserve"> مفهوم سرز</w:t>
      </w:r>
      <w:r w:rsidRPr="00FF5A7E">
        <w:rPr>
          <w:rFonts w:hint="eastAsia"/>
          <w:rtl/>
          <w:lang w:bidi="fa-IR"/>
        </w:rPr>
        <w:t>م</w:t>
      </w:r>
      <w:r w:rsidRPr="00FF5A7E">
        <w:rPr>
          <w:rFonts w:hint="cs"/>
          <w:rtl/>
          <w:lang w:bidi="fa-IR"/>
        </w:rPr>
        <w:t>ی</w:t>
      </w:r>
      <w:r w:rsidRPr="00FF5A7E">
        <w:rPr>
          <w:rFonts w:hint="eastAsia"/>
          <w:rtl/>
          <w:lang w:bidi="fa-IR"/>
        </w:rPr>
        <w:t>ن</w:t>
      </w:r>
      <w:r w:rsidRPr="00FF5A7E">
        <w:rPr>
          <w:rFonts w:hint="cs"/>
          <w:rtl/>
          <w:lang w:bidi="fa-IR"/>
        </w:rPr>
        <w:t>ی</w:t>
      </w:r>
      <w:r w:rsidRPr="00FF5A7E">
        <w:rPr>
          <w:rtl/>
          <w:lang w:bidi="fa-IR"/>
        </w:rPr>
        <w:t>(مناسب برا</w:t>
      </w:r>
      <w:r w:rsidRPr="00FF5A7E">
        <w:rPr>
          <w:rFonts w:hint="cs"/>
          <w:rtl/>
          <w:lang w:bidi="fa-IR"/>
        </w:rPr>
        <w:t>ی</w:t>
      </w:r>
      <w:r w:rsidRPr="00FF5A7E">
        <w:rPr>
          <w:rtl/>
          <w:lang w:bidi="fa-IR"/>
        </w:rPr>
        <w:t xml:space="preserve"> هر کشور) است بلکه همچن</w:t>
      </w:r>
      <w:r w:rsidRPr="00FF5A7E">
        <w:rPr>
          <w:rFonts w:hint="cs"/>
          <w:rtl/>
          <w:lang w:bidi="fa-IR"/>
        </w:rPr>
        <w:t>ی</w:t>
      </w:r>
      <w:r w:rsidRPr="00FF5A7E">
        <w:rPr>
          <w:rFonts w:hint="eastAsia"/>
          <w:rtl/>
          <w:lang w:bidi="fa-IR"/>
        </w:rPr>
        <w:t>ن</w:t>
      </w:r>
      <w:r w:rsidRPr="00FF5A7E">
        <w:rPr>
          <w:rtl/>
          <w:lang w:bidi="fa-IR"/>
        </w:rPr>
        <w:t xml:space="preserve"> </w:t>
      </w:r>
      <w:r w:rsidRPr="00FF5A7E">
        <w:rPr>
          <w:rFonts w:hint="cs"/>
          <w:rtl/>
          <w:lang w:bidi="fa-IR"/>
        </w:rPr>
        <w:t>ی</w:t>
      </w:r>
      <w:r w:rsidRPr="00FF5A7E">
        <w:rPr>
          <w:rFonts w:hint="eastAsia"/>
          <w:rtl/>
          <w:lang w:bidi="fa-IR"/>
        </w:rPr>
        <w:t>ک</w:t>
      </w:r>
      <w:r w:rsidR="00E25213">
        <w:rPr>
          <w:rFonts w:hint="cs"/>
          <w:rtl/>
          <w:lang w:bidi="fa-IR"/>
        </w:rPr>
        <w:t xml:space="preserve"> </w:t>
      </w:r>
      <w:r w:rsidRPr="00FF5A7E">
        <w:rPr>
          <w:rtl/>
          <w:lang w:bidi="fa-IR"/>
        </w:rPr>
        <w:t>مفهوم منطبق بر زمان است، ه</w:t>
      </w:r>
      <w:r w:rsidRPr="00FF5A7E">
        <w:rPr>
          <w:rFonts w:hint="cs"/>
          <w:rtl/>
          <w:lang w:bidi="fa-IR"/>
        </w:rPr>
        <w:t>ی</w:t>
      </w:r>
      <w:r w:rsidRPr="00FF5A7E">
        <w:rPr>
          <w:rFonts w:hint="eastAsia"/>
          <w:rtl/>
          <w:lang w:bidi="fa-IR"/>
        </w:rPr>
        <w:t>چ</w:t>
      </w:r>
      <w:r w:rsidRPr="00FF5A7E">
        <w:rPr>
          <w:rtl/>
          <w:lang w:bidi="fa-IR"/>
        </w:rPr>
        <w:t xml:space="preserve"> کس نم</w:t>
      </w:r>
      <w:r w:rsidRPr="00FF5A7E">
        <w:rPr>
          <w:rFonts w:hint="cs"/>
          <w:rtl/>
          <w:lang w:bidi="fa-IR"/>
        </w:rPr>
        <w:t>ی‌</w:t>
      </w:r>
      <w:r w:rsidRPr="00FF5A7E">
        <w:rPr>
          <w:rFonts w:hint="eastAsia"/>
          <w:rtl/>
          <w:lang w:bidi="fa-IR"/>
        </w:rPr>
        <w:t>داند</w:t>
      </w:r>
      <w:r w:rsidRPr="00FF5A7E">
        <w:rPr>
          <w:rtl/>
          <w:lang w:bidi="fa-IR"/>
        </w:rPr>
        <w:t xml:space="preserve"> نظم عموم</w:t>
      </w:r>
      <w:r w:rsidRPr="00FF5A7E">
        <w:rPr>
          <w:rFonts w:hint="cs"/>
          <w:rtl/>
          <w:lang w:bidi="fa-IR"/>
        </w:rPr>
        <w:t>ی</w:t>
      </w:r>
      <w:r w:rsidRPr="00FF5A7E">
        <w:rPr>
          <w:rtl/>
          <w:lang w:bidi="fa-IR"/>
        </w:rPr>
        <w:t xml:space="preserve"> فردا چه خواهد بود</w:t>
      </w:r>
      <w:r w:rsidR="00E25213">
        <w:rPr>
          <w:rFonts w:hint="cs"/>
          <w:rtl/>
          <w:lang w:bidi="fa-IR"/>
        </w:rPr>
        <w:t>.»</w:t>
      </w:r>
    </w:p>
    <w:p w:rsidR="002527C7" w:rsidRDefault="00FF5A7E" w:rsidP="004C2DA3">
      <w:pPr>
        <w:bidi/>
        <w:spacing w:before="240"/>
        <w:ind w:firstLine="360"/>
        <w:jc w:val="mediumKashida"/>
        <w:rPr>
          <w:rtl/>
          <w:lang w:bidi="fa-IR"/>
        </w:rPr>
      </w:pPr>
      <w:r w:rsidRPr="00FF5A7E">
        <w:rPr>
          <w:rFonts w:hint="eastAsia"/>
          <w:rtl/>
          <w:lang w:bidi="fa-IR"/>
        </w:rPr>
        <w:t>نسب</w:t>
      </w:r>
      <w:r w:rsidRPr="00FF5A7E">
        <w:rPr>
          <w:rFonts w:hint="cs"/>
          <w:rtl/>
          <w:lang w:bidi="fa-IR"/>
        </w:rPr>
        <w:t>ی</w:t>
      </w:r>
      <w:r w:rsidRPr="00FF5A7E">
        <w:rPr>
          <w:rFonts w:hint="eastAsia"/>
          <w:rtl/>
          <w:lang w:bidi="fa-IR"/>
        </w:rPr>
        <w:t>ت</w:t>
      </w:r>
      <w:r w:rsidRPr="00FF5A7E">
        <w:rPr>
          <w:rtl/>
          <w:lang w:bidi="fa-IR"/>
        </w:rPr>
        <w:t xml:space="preserve"> مکان</w:t>
      </w:r>
      <w:r w:rsidRPr="00FF5A7E">
        <w:rPr>
          <w:rFonts w:hint="cs"/>
          <w:rtl/>
          <w:lang w:bidi="fa-IR"/>
        </w:rPr>
        <w:t>ی</w:t>
      </w:r>
      <w:r w:rsidRPr="00FF5A7E">
        <w:rPr>
          <w:rtl/>
          <w:lang w:bidi="fa-IR"/>
        </w:rPr>
        <w:t xml:space="preserve"> و زمان</w:t>
      </w:r>
      <w:r w:rsidRPr="00FF5A7E">
        <w:rPr>
          <w:rFonts w:hint="cs"/>
          <w:rtl/>
          <w:lang w:bidi="fa-IR"/>
        </w:rPr>
        <w:t>ی</w:t>
      </w:r>
      <w:r w:rsidRPr="00FF5A7E">
        <w:rPr>
          <w:rtl/>
          <w:lang w:bidi="fa-IR"/>
        </w:rPr>
        <w:t xml:space="preserve"> مفهوم نظم عموم</w:t>
      </w:r>
      <w:r w:rsidRPr="00FF5A7E">
        <w:rPr>
          <w:rFonts w:hint="cs"/>
          <w:rtl/>
          <w:lang w:bidi="fa-IR"/>
        </w:rPr>
        <w:t>ی</w:t>
      </w:r>
      <w:r w:rsidRPr="00FF5A7E">
        <w:rPr>
          <w:rtl/>
          <w:lang w:bidi="fa-IR"/>
        </w:rPr>
        <w:t xml:space="preserve"> در واقع به تنوع مفاه</w:t>
      </w:r>
      <w:r w:rsidRPr="00FF5A7E">
        <w:rPr>
          <w:rFonts w:hint="cs"/>
          <w:rtl/>
          <w:lang w:bidi="fa-IR"/>
        </w:rPr>
        <w:t>ی</w:t>
      </w:r>
      <w:r w:rsidRPr="00FF5A7E">
        <w:rPr>
          <w:rFonts w:hint="eastAsia"/>
          <w:rtl/>
          <w:lang w:bidi="fa-IR"/>
        </w:rPr>
        <w:t>م</w:t>
      </w:r>
      <w:r w:rsidRPr="00FF5A7E">
        <w:rPr>
          <w:rtl/>
          <w:lang w:bidi="fa-IR"/>
        </w:rPr>
        <w:t xml:space="preserve"> ا</w:t>
      </w:r>
      <w:r w:rsidRPr="00FF5A7E">
        <w:rPr>
          <w:rFonts w:hint="cs"/>
          <w:rtl/>
          <w:lang w:bidi="fa-IR"/>
        </w:rPr>
        <w:t>ی</w:t>
      </w:r>
      <w:r w:rsidRPr="00FF5A7E">
        <w:rPr>
          <w:rFonts w:hint="eastAsia"/>
          <w:rtl/>
          <w:lang w:bidi="fa-IR"/>
        </w:rPr>
        <w:t>ن</w:t>
      </w:r>
      <w:r w:rsidRPr="00FF5A7E">
        <w:rPr>
          <w:rtl/>
          <w:lang w:bidi="fa-IR"/>
        </w:rPr>
        <w:t xml:space="preserve"> اصطلاح در کشورها و جوامع مختلف، متناسب با شرا</w:t>
      </w:r>
      <w:r w:rsidRPr="00FF5A7E">
        <w:rPr>
          <w:rFonts w:hint="cs"/>
          <w:rtl/>
          <w:lang w:bidi="fa-IR"/>
        </w:rPr>
        <w:t>ی</w:t>
      </w:r>
      <w:r w:rsidRPr="00FF5A7E">
        <w:rPr>
          <w:rFonts w:hint="eastAsia"/>
          <w:rtl/>
          <w:lang w:bidi="fa-IR"/>
        </w:rPr>
        <w:t>ط</w:t>
      </w:r>
      <w:r w:rsidRPr="00FF5A7E">
        <w:rPr>
          <w:rtl/>
          <w:lang w:bidi="fa-IR"/>
        </w:rPr>
        <w:t xml:space="preserve"> فرهنگ</w:t>
      </w:r>
      <w:r w:rsidRPr="00FF5A7E">
        <w:rPr>
          <w:rFonts w:hint="cs"/>
          <w:rtl/>
          <w:lang w:bidi="fa-IR"/>
        </w:rPr>
        <w:t>ی</w:t>
      </w:r>
      <w:r w:rsidRPr="00FF5A7E">
        <w:rPr>
          <w:rFonts w:hint="eastAsia"/>
          <w:rtl/>
          <w:lang w:bidi="fa-IR"/>
        </w:rPr>
        <w:t>،</w:t>
      </w:r>
      <w:r w:rsidRPr="00FF5A7E">
        <w:rPr>
          <w:rtl/>
          <w:lang w:bidi="fa-IR"/>
        </w:rPr>
        <w:t xml:space="preserve"> اجتماع</w:t>
      </w:r>
      <w:r w:rsidRPr="00FF5A7E">
        <w:rPr>
          <w:rFonts w:hint="cs"/>
          <w:rtl/>
          <w:lang w:bidi="fa-IR"/>
        </w:rPr>
        <w:t>ی</w:t>
      </w:r>
      <w:r w:rsidRPr="00FF5A7E">
        <w:rPr>
          <w:rtl/>
          <w:lang w:bidi="fa-IR"/>
        </w:rPr>
        <w:t xml:space="preserve"> و اعتقاد</w:t>
      </w:r>
      <w:r w:rsidRPr="00FF5A7E">
        <w:rPr>
          <w:rFonts w:hint="cs"/>
          <w:rtl/>
          <w:lang w:bidi="fa-IR"/>
        </w:rPr>
        <w:t>ی</w:t>
      </w:r>
      <w:r w:rsidRPr="00FF5A7E">
        <w:rPr>
          <w:rtl/>
          <w:lang w:bidi="fa-IR"/>
        </w:rPr>
        <w:t xml:space="preserve"> آن‍ها و ن</w:t>
      </w:r>
      <w:r w:rsidRPr="00FF5A7E">
        <w:rPr>
          <w:rFonts w:hint="cs"/>
          <w:rtl/>
          <w:lang w:bidi="fa-IR"/>
        </w:rPr>
        <w:t>ی</w:t>
      </w:r>
      <w:r w:rsidRPr="00FF5A7E">
        <w:rPr>
          <w:rFonts w:hint="eastAsia"/>
          <w:rtl/>
          <w:lang w:bidi="fa-IR"/>
        </w:rPr>
        <w:t>ز</w:t>
      </w:r>
      <w:r w:rsidRPr="00FF5A7E">
        <w:rPr>
          <w:rtl/>
          <w:lang w:bidi="fa-IR"/>
        </w:rPr>
        <w:t xml:space="preserve"> به تحول مفهوم آن در گذر زمان، که مقتض</w:t>
      </w:r>
      <w:r w:rsidRPr="00FF5A7E">
        <w:rPr>
          <w:rFonts w:hint="cs"/>
          <w:rtl/>
          <w:lang w:bidi="fa-IR"/>
        </w:rPr>
        <w:t>ی</w:t>
      </w:r>
      <w:r w:rsidRPr="00FF5A7E">
        <w:rPr>
          <w:rtl/>
          <w:lang w:bidi="fa-IR"/>
        </w:rPr>
        <w:t xml:space="preserve"> تحولات جوامع بشر</w:t>
      </w:r>
      <w:r w:rsidRPr="00FF5A7E">
        <w:rPr>
          <w:rFonts w:hint="cs"/>
          <w:rtl/>
          <w:lang w:bidi="fa-IR"/>
        </w:rPr>
        <w:t>ی</w:t>
      </w:r>
      <w:r w:rsidRPr="00FF5A7E">
        <w:rPr>
          <w:rtl/>
          <w:lang w:bidi="fa-IR"/>
        </w:rPr>
        <w:t xml:space="preserve"> است، برم</w:t>
      </w:r>
      <w:r w:rsidRPr="00FF5A7E">
        <w:rPr>
          <w:rFonts w:hint="cs"/>
          <w:rtl/>
          <w:lang w:bidi="fa-IR"/>
        </w:rPr>
        <w:t>ی‌</w:t>
      </w:r>
      <w:r w:rsidRPr="00FF5A7E">
        <w:rPr>
          <w:rFonts w:hint="eastAsia"/>
          <w:rtl/>
          <w:lang w:bidi="fa-IR"/>
        </w:rPr>
        <w:t>گردد</w:t>
      </w:r>
      <w:r w:rsidRPr="00FF5A7E">
        <w:rPr>
          <w:rtl/>
          <w:lang w:bidi="fa-IR"/>
        </w:rPr>
        <w:t>.</w:t>
      </w:r>
    </w:p>
    <w:p w:rsidR="00A80D92" w:rsidRPr="002527C7" w:rsidRDefault="00A80D92" w:rsidP="006E2D6D">
      <w:pPr>
        <w:bidi/>
        <w:spacing w:before="240"/>
        <w:jc w:val="mediumKashida"/>
        <w:rPr>
          <w:rtl/>
          <w:lang w:bidi="fa-IR"/>
        </w:rPr>
      </w:pPr>
    </w:p>
    <w:p w:rsidR="002527C7" w:rsidRDefault="002527C7" w:rsidP="004C2DA3">
      <w:pPr>
        <w:pStyle w:val="Heading2"/>
        <w:bidi/>
        <w:ind w:firstLine="360"/>
        <w:jc w:val="center"/>
        <w:rPr>
          <w:rtl/>
          <w:lang w:bidi="fa-IR"/>
        </w:rPr>
      </w:pPr>
      <w:bookmarkStart w:id="12" w:name="_Toc397212639"/>
      <w:r w:rsidRPr="009731A2">
        <w:rPr>
          <w:rFonts w:hint="cs"/>
          <w:rtl/>
          <w:lang w:bidi="fa-IR"/>
        </w:rPr>
        <w:t>گفتار سوم: اقسام نظم عمومی</w:t>
      </w:r>
      <w:bookmarkEnd w:id="12"/>
    </w:p>
    <w:p w:rsidR="009308A0" w:rsidRPr="009308A0" w:rsidRDefault="009308A0" w:rsidP="009308A0">
      <w:pPr>
        <w:bidi/>
        <w:rPr>
          <w:rtl/>
          <w:lang w:bidi="fa-IR"/>
        </w:rPr>
      </w:pPr>
    </w:p>
    <w:p w:rsidR="002527C7" w:rsidRDefault="002527C7" w:rsidP="004C2DA3">
      <w:pPr>
        <w:bidi/>
        <w:spacing w:before="240"/>
        <w:ind w:firstLine="360"/>
        <w:jc w:val="mediumKashida"/>
        <w:rPr>
          <w:rtl/>
          <w:lang w:bidi="fa-IR"/>
        </w:rPr>
      </w:pPr>
      <w:r w:rsidRPr="002527C7">
        <w:rPr>
          <w:rFonts w:hint="cs"/>
          <w:rtl/>
          <w:lang w:bidi="fa-IR"/>
        </w:rPr>
        <w:t xml:space="preserve">نویسندگان حقوقی قائل به تقسیم‌بندی‌های متفاوتی برای نظم عمومی شده‌اند. عده‌ای آن را به سه دسته‌ی «نظم عمومی ملی» و «نظم عمومی بین‌المللی» و «نظم فراملی» تقسیم کرده‌اند. برخی دیگر منکر وجود نظم عمومی فراملی شده و فقط </w:t>
      </w:r>
      <w:r w:rsidRPr="002527C7">
        <w:rPr>
          <w:rFonts w:hint="cs"/>
          <w:rtl/>
          <w:lang w:bidi="fa-IR"/>
        </w:rPr>
        <w:lastRenderedPageBreak/>
        <w:t>تقسیم‌بندی «نظم عمومی داخلی» و «نظم عمومی بین‌المللی» را پذیرفته‌اند.</w:t>
      </w:r>
      <w:r w:rsidRPr="002527C7">
        <w:rPr>
          <w:vertAlign w:val="superscript"/>
          <w:rtl/>
          <w:lang w:bidi="fa-IR"/>
        </w:rPr>
        <w:footnoteReference w:id="97"/>
      </w:r>
      <w:r w:rsidRPr="002527C7">
        <w:rPr>
          <w:rFonts w:hint="cs"/>
          <w:rtl/>
          <w:lang w:bidi="fa-IR"/>
        </w:rPr>
        <w:t xml:space="preserve"> اما از نظر نگارنده جامع‌ترین و کامل‌ترین تقسیم‌بندی، آن است که در حقوق نوین و تفاسیر جدید، نظم عمومی را بر پایه احاطه‌ی قانونی بر آن  به دو دسته‌ی «نظم عمومی ملی» و «نظم عمومی فراملی» تقسیم‌بندی می‌کنند.</w:t>
      </w:r>
      <w:r w:rsidRPr="002527C7">
        <w:rPr>
          <w:vertAlign w:val="superscript"/>
          <w:rtl/>
          <w:lang w:bidi="fa-IR"/>
        </w:rPr>
        <w:footnoteReference w:id="98"/>
      </w:r>
      <w:r w:rsidRPr="002527C7">
        <w:rPr>
          <w:rFonts w:hint="cs"/>
          <w:rtl/>
          <w:lang w:bidi="fa-IR"/>
        </w:rPr>
        <w:t xml:space="preserve"> با این توضیح که «نظم عمومی ملی» خود به سه دسته تحت عنوان «نظم عمومی داخلی» و «نظم عموی بین‌المللی» و «قواعد انتظامی» تقسیم می‌شود.</w:t>
      </w:r>
    </w:p>
    <w:p w:rsidR="00E63F34" w:rsidRDefault="00E63F34" w:rsidP="009308A0">
      <w:pPr>
        <w:bidi/>
        <w:spacing w:before="240"/>
        <w:jc w:val="left"/>
        <w:rPr>
          <w:rFonts w:cs="B Zar"/>
          <w:b/>
          <w:bCs/>
          <w:sz w:val="32"/>
          <w:szCs w:val="32"/>
          <w:rtl/>
          <w:lang w:bidi="fa-IR"/>
        </w:rPr>
      </w:pPr>
    </w:p>
    <w:p w:rsidR="009308A0" w:rsidRPr="009308A0" w:rsidRDefault="009731A2" w:rsidP="006E2D6D">
      <w:pPr>
        <w:pStyle w:val="Heading3"/>
        <w:rPr>
          <w:rtl/>
        </w:rPr>
      </w:pPr>
      <w:bookmarkStart w:id="13" w:name="_Toc397212640"/>
      <w:r>
        <w:rPr>
          <w:rFonts w:hint="cs"/>
          <w:rtl/>
        </w:rPr>
        <w:t>3-1)</w:t>
      </w:r>
      <w:r w:rsidR="002527C7" w:rsidRPr="009731A2">
        <w:rPr>
          <w:rFonts w:hint="cs"/>
          <w:rtl/>
        </w:rPr>
        <w:t xml:space="preserve"> نظم عمومی ملی</w:t>
      </w:r>
      <w:bookmarkEnd w:id="13"/>
    </w:p>
    <w:p w:rsidR="002527C7" w:rsidRPr="002527C7" w:rsidRDefault="002527C7" w:rsidP="004C2DA3">
      <w:pPr>
        <w:bidi/>
        <w:spacing w:before="240"/>
        <w:ind w:firstLine="360"/>
        <w:jc w:val="mediumKashida"/>
        <w:rPr>
          <w:rtl/>
          <w:lang w:bidi="fa-IR"/>
        </w:rPr>
      </w:pPr>
      <w:r w:rsidRPr="002527C7">
        <w:rPr>
          <w:rFonts w:hint="cs"/>
          <w:rtl/>
          <w:lang w:bidi="fa-IR"/>
        </w:rPr>
        <w:t>برای درک این قسم از نظم عمومی ضرورتاً باید به نظام حقوقی ملی یک کشور مراجعه کرد. نظم عمومی ملی هر کشور چه در روابط داخلی و چه در روابط بین‌المللی وابسته به اصول تمدّن و نظام حقوقی خاص همان کشور است و با نظم عمومی کشور دیگر متفاوت است</w:t>
      </w:r>
      <w:r w:rsidRPr="002527C7">
        <w:rPr>
          <w:lang w:bidi="fa-IR"/>
        </w:rPr>
        <w:t>.</w:t>
      </w:r>
    </w:p>
    <w:p w:rsidR="002527C7" w:rsidRPr="002527C7" w:rsidRDefault="002527C7" w:rsidP="004C2DA3">
      <w:pPr>
        <w:bidi/>
        <w:spacing w:before="240"/>
        <w:ind w:firstLine="360"/>
        <w:jc w:val="mediumKashida"/>
        <w:rPr>
          <w:rtl/>
          <w:lang w:bidi="fa-IR"/>
        </w:rPr>
      </w:pPr>
      <w:r w:rsidRPr="002527C7">
        <w:rPr>
          <w:rFonts w:hint="cs"/>
          <w:rtl/>
          <w:lang w:bidi="fa-IR"/>
        </w:rPr>
        <w:t>نظم عمومی ملی همان‌طور که در بالا گفته شد، به سه دسته قابل تقسیم است: «نظم عمومی داخلی»، «نظم عمومی بین‌المللی» و «قواعد انتظامی».</w:t>
      </w:r>
    </w:p>
    <w:p w:rsidR="002527C7" w:rsidRPr="002527C7" w:rsidRDefault="002527C7" w:rsidP="004C2DA3">
      <w:pPr>
        <w:bidi/>
        <w:spacing w:before="240"/>
        <w:ind w:firstLine="360"/>
        <w:jc w:val="mediumKashida"/>
        <w:rPr>
          <w:b/>
          <w:bCs/>
          <w:rtl/>
          <w:lang w:bidi="fa-IR"/>
        </w:rPr>
      </w:pPr>
    </w:p>
    <w:p w:rsidR="00BB2898" w:rsidRPr="00BB2898" w:rsidRDefault="009731A2" w:rsidP="00BB2898">
      <w:pPr>
        <w:pStyle w:val="Heading4"/>
        <w:rPr>
          <w:rtl/>
        </w:rPr>
      </w:pPr>
      <w:r>
        <w:rPr>
          <w:rFonts w:hint="cs"/>
          <w:rtl/>
        </w:rPr>
        <w:lastRenderedPageBreak/>
        <w:t xml:space="preserve">3-1-1) </w:t>
      </w:r>
      <w:r w:rsidR="00BB2898">
        <w:rPr>
          <w:rFonts w:hint="cs"/>
          <w:rtl/>
        </w:rPr>
        <w:t>نظم عمومی داخلی</w:t>
      </w:r>
    </w:p>
    <w:p w:rsidR="002527C7" w:rsidRPr="002527C7" w:rsidRDefault="002527C7" w:rsidP="004C2DA3">
      <w:pPr>
        <w:bidi/>
        <w:spacing w:before="240"/>
        <w:ind w:firstLine="360"/>
        <w:jc w:val="mediumKashida"/>
        <w:rPr>
          <w:lang w:bidi="fa-IR"/>
        </w:rPr>
      </w:pPr>
      <w:r w:rsidRPr="002527C7">
        <w:rPr>
          <w:rFonts w:hint="cs"/>
          <w:rtl/>
          <w:lang w:bidi="fa-IR"/>
        </w:rPr>
        <w:t>در خصوص این قسم از مفهوم مذکور آن‌چه همه بر آن توافق دارند، «آمره بودن» آن است. برخی معتقدند، نظم عمومی در حقوق داخلی به معنای رعایت «مطلق» قواعد امری است.</w:t>
      </w:r>
      <w:r w:rsidRPr="002527C7">
        <w:rPr>
          <w:vertAlign w:val="superscript"/>
          <w:rtl/>
          <w:lang w:bidi="fa-IR"/>
        </w:rPr>
        <w:footnoteReference w:id="99"/>
      </w:r>
      <w:r w:rsidRPr="002527C7">
        <w:rPr>
          <w:rFonts w:hint="cs"/>
          <w:rtl/>
          <w:lang w:bidi="fa-IR"/>
        </w:rPr>
        <w:t xml:space="preserve"> برخی نیز معتقدند نمی‌توان تمام قواعد آمره را در نظم عمومی داخلی جای داد.</w:t>
      </w:r>
      <w:r w:rsidRPr="002527C7">
        <w:rPr>
          <w:vertAlign w:val="superscript"/>
          <w:rtl/>
          <w:lang w:bidi="fa-IR"/>
        </w:rPr>
        <w:footnoteReference w:id="100"/>
      </w:r>
      <w:r w:rsidRPr="002527C7">
        <w:rPr>
          <w:lang w:bidi="fa-IR"/>
        </w:rPr>
        <w:t xml:space="preserve"> </w:t>
      </w:r>
      <w:r w:rsidRPr="002527C7">
        <w:rPr>
          <w:rFonts w:hint="cs"/>
          <w:rtl/>
          <w:lang w:bidi="fa-IR"/>
        </w:rPr>
        <w:t>برخی نیز برای تعیین قواعد آمره محدوده‌ی قوانین موضوعه را کافی نمی‌دانند؛ به این دلیل که بعضی از مصادیق نظم عمومی را می‌توان در اخلاق حاکم بر اجتماع (اخلاق حسنه) نیز یافت.</w:t>
      </w:r>
      <w:r w:rsidRPr="002527C7">
        <w:rPr>
          <w:vertAlign w:val="superscript"/>
          <w:rtl/>
          <w:lang w:bidi="fa-IR"/>
        </w:rPr>
        <w:footnoteReference w:id="101"/>
      </w:r>
      <w:r w:rsidRPr="002527C7">
        <w:rPr>
          <w:rFonts w:hint="cs"/>
          <w:rtl/>
          <w:lang w:bidi="fa-IR"/>
        </w:rPr>
        <w:t xml:space="preserve"> در راستای نظر اخیر نظم عمومی داخلی هر کشور عبارتست از مجموعه قواعد آمره حاکم در آن کشور که در قوانین امری و اخلاق حسنه آن اجتماع وجود دارد.</w:t>
      </w:r>
      <w:r w:rsidRPr="002527C7">
        <w:rPr>
          <w:vertAlign w:val="superscript"/>
          <w:rtl/>
          <w:lang w:bidi="fa-IR"/>
        </w:rPr>
        <w:footnoteReference w:id="102"/>
      </w:r>
      <w:r w:rsidRPr="002527C7">
        <w:rPr>
          <w:rFonts w:hint="cs"/>
          <w:rtl/>
          <w:lang w:bidi="fa-IR"/>
        </w:rPr>
        <w:t xml:space="preserve"> نظم عمومی در این مفهوم اعم از اخلاق حسنه بوده و شامل نظم دولتی و اداری، نظم قضایی، نظم اقتصادی، نظم سیاسی، نظم در اهلیت و احوال شخصیه می‌شود. البته این نظر از سوی برخی حقوقدانان خارجی مورد تأید قرار نگرفته است</w:t>
      </w:r>
      <w:r w:rsidRPr="002527C7">
        <w:rPr>
          <w:vertAlign w:val="superscript"/>
          <w:rtl/>
          <w:lang w:bidi="fa-IR"/>
        </w:rPr>
        <w:footnoteReference w:id="103"/>
      </w:r>
      <w:r w:rsidRPr="002527C7">
        <w:rPr>
          <w:rFonts w:hint="cs"/>
          <w:rtl/>
          <w:lang w:bidi="fa-IR"/>
        </w:rPr>
        <w:t xml:space="preserve">؛ اما اکثر مفسرین حقوق داخلی ایران، قائل بر این نظر هستند. </w:t>
      </w:r>
    </w:p>
    <w:p w:rsidR="002527C7" w:rsidRPr="002527C7" w:rsidRDefault="002527C7" w:rsidP="004C2DA3">
      <w:pPr>
        <w:bidi/>
        <w:spacing w:before="240"/>
        <w:ind w:firstLine="360"/>
        <w:jc w:val="mediumKashida"/>
        <w:rPr>
          <w:rtl/>
          <w:lang w:bidi="fa-IR"/>
        </w:rPr>
      </w:pPr>
      <w:r w:rsidRPr="002527C7">
        <w:rPr>
          <w:rFonts w:hint="cs"/>
          <w:rtl/>
          <w:lang w:bidi="fa-IR"/>
        </w:rPr>
        <w:t xml:space="preserve">مخالفینی که معتقدند نمی‌توان هر قاعده‌ی امری را در قلمرو نظم عمومی جای داد، وجه ممیزه‌ی قواعد امری با نظم عمومی را در «منفعت عمومی» می‌دانند؛ و هر </w:t>
      </w:r>
      <w:r w:rsidRPr="002527C7">
        <w:rPr>
          <w:rFonts w:hint="cs"/>
          <w:rtl/>
          <w:lang w:bidi="fa-IR"/>
        </w:rPr>
        <w:lastRenderedPageBreak/>
        <w:t>قاعده امری را به صرف آمره بودن نباید دارای خصیصه‌ی نظم عمومی بدانیم، بلکه با تفاوت قائل شدن میان این دو، باید معیار نظم عمومی را حفظ کرده و اجازه ندهیم اراده‌ی افراد آن را با خطر مواجه کنند.</w:t>
      </w:r>
      <w:r w:rsidRPr="002527C7">
        <w:rPr>
          <w:vertAlign w:val="superscript"/>
          <w:rtl/>
          <w:lang w:bidi="fa-IR"/>
        </w:rPr>
        <w:footnoteReference w:id="104"/>
      </w:r>
      <w:r w:rsidRPr="002527C7">
        <w:rPr>
          <w:rFonts w:hint="cs"/>
          <w:rtl/>
          <w:lang w:bidi="fa-IR"/>
        </w:rPr>
        <w:t xml:space="preserve"> آن‌چه از نظر اخیر برداشت می‌شود این است که نظم عمومی را در نفع عمومی جستجو می‌کند؛ اگر چه طرفداران نظر دیگر هم هدف غایی و نهایی را به  صورت غیر مستقیم، نشأت گرفته از منفعت عمومی می‌دانند.</w:t>
      </w:r>
    </w:p>
    <w:p w:rsidR="002527C7" w:rsidRPr="002527C7" w:rsidRDefault="002527C7" w:rsidP="004C2DA3">
      <w:pPr>
        <w:bidi/>
        <w:spacing w:before="240"/>
        <w:ind w:firstLine="360"/>
        <w:jc w:val="mediumKashida"/>
        <w:rPr>
          <w:rtl/>
          <w:lang w:bidi="fa-IR"/>
        </w:rPr>
      </w:pPr>
      <w:r w:rsidRPr="002527C7">
        <w:rPr>
          <w:rFonts w:hint="cs"/>
          <w:rtl/>
          <w:lang w:bidi="fa-IR"/>
        </w:rPr>
        <w:t>دیوان دادگستری اروپا در پرونده بوشرو، اصل مفهوم نظم عمومی کشورهای عضو اتحادیه را این گونه توضیح می‌دهد:</w:t>
      </w:r>
    </w:p>
    <w:p w:rsidR="002527C7" w:rsidRPr="002527C7" w:rsidRDefault="002527C7" w:rsidP="004C2DA3">
      <w:pPr>
        <w:bidi/>
        <w:spacing w:before="240"/>
        <w:ind w:firstLine="360"/>
        <w:jc w:val="mediumKashida"/>
        <w:rPr>
          <w:lang w:bidi="fa-IR"/>
        </w:rPr>
      </w:pPr>
      <w:r w:rsidRPr="005A7E30">
        <w:rPr>
          <w:rFonts w:hint="cs"/>
          <w:rtl/>
          <w:lang w:bidi="fa-IR"/>
        </w:rPr>
        <w:t xml:space="preserve">این مفهوم، جدای از آشفتگی در نظم اجتماعی که تمام موارد نقض قانون را موجب می‌شود، یک تهدید واقعی و به اندازه کافی خطرناک </w:t>
      </w:r>
      <w:r w:rsidRPr="00761C60">
        <w:rPr>
          <w:rFonts w:hint="cs"/>
          <w:rtl/>
          <w:lang w:bidi="fa-IR"/>
        </w:rPr>
        <w:t>که بر یک منفعت اساسی در جامعه</w:t>
      </w:r>
      <w:r w:rsidRPr="005A7E30">
        <w:rPr>
          <w:rFonts w:hint="cs"/>
          <w:b/>
          <w:bCs/>
          <w:rtl/>
          <w:lang w:bidi="fa-IR"/>
        </w:rPr>
        <w:t xml:space="preserve"> تأثیر می‌گذارد</w:t>
      </w:r>
      <w:r w:rsidRPr="005A7E30">
        <w:rPr>
          <w:rFonts w:hint="cs"/>
          <w:rtl/>
          <w:lang w:bidi="fa-IR"/>
        </w:rPr>
        <w:t xml:space="preserve"> را فرض می‌کند</w:t>
      </w:r>
      <w:r w:rsidRPr="002527C7">
        <w:rPr>
          <w:rFonts w:hint="cs"/>
          <w:rtl/>
          <w:lang w:bidi="fa-IR"/>
        </w:rPr>
        <w:t>.</w:t>
      </w:r>
      <w:r w:rsidRPr="002527C7">
        <w:rPr>
          <w:vertAlign w:val="superscript"/>
          <w:rtl/>
          <w:lang w:bidi="fa-IR"/>
        </w:rPr>
        <w:footnoteReference w:id="105"/>
      </w:r>
    </w:p>
    <w:p w:rsidR="002527C7" w:rsidRDefault="002527C7" w:rsidP="004C2DA3">
      <w:pPr>
        <w:bidi/>
        <w:spacing w:before="240"/>
        <w:ind w:firstLine="360"/>
        <w:jc w:val="mediumKashida"/>
        <w:rPr>
          <w:rtl/>
          <w:lang w:bidi="fa-IR"/>
        </w:rPr>
      </w:pPr>
      <w:r w:rsidRPr="002527C7">
        <w:rPr>
          <w:rFonts w:hint="cs"/>
          <w:rtl/>
          <w:lang w:bidi="fa-IR"/>
        </w:rPr>
        <w:t xml:space="preserve">در تعیین نظم عمومی داخلی، هر کشور در چارچوب مصالح و منافع جامعه خود اقدام می‌کند. کشورها در این خصوص از آزادی عمل برخوردارند. این حق کشورها از سوی مراجع بین‌المللی نیز به رسمیت شناخته شده است. دیوان دادگستری اروپا در قضیه‌ای با بیان این‌که نظم عمومی مفهومی سرزمینی دارد، اعلام می‌دارد که کشورهای عضو جامعه اروپا مسئولیت منحصر به فرد را در تعریف نظم </w:t>
      </w:r>
      <w:r w:rsidRPr="002527C7">
        <w:rPr>
          <w:rFonts w:hint="cs"/>
          <w:rtl/>
          <w:lang w:bidi="fa-IR"/>
        </w:rPr>
        <w:lastRenderedPageBreak/>
        <w:t>عمومی خود دارند. بر این اساس دیوان تصدیق می‌کند که کشورهای عضو می‌توانند مفهوم نظم عمومی خود را نیز تغییر دهند.</w:t>
      </w:r>
      <w:r w:rsidRPr="002527C7">
        <w:rPr>
          <w:vertAlign w:val="superscript"/>
          <w:rtl/>
          <w:lang w:bidi="fa-IR"/>
        </w:rPr>
        <w:footnoteReference w:id="106"/>
      </w:r>
      <w:r w:rsidRPr="002527C7">
        <w:rPr>
          <w:lang w:bidi="fa-IR"/>
        </w:rPr>
        <w:t xml:space="preserve"> </w:t>
      </w:r>
      <w:r w:rsidRPr="002527C7">
        <w:rPr>
          <w:rFonts w:hint="cs"/>
          <w:rtl/>
          <w:lang w:bidi="fa-IR"/>
        </w:rPr>
        <w:t xml:space="preserve"> </w:t>
      </w:r>
    </w:p>
    <w:p w:rsidR="00FF5A7E" w:rsidRPr="002527C7" w:rsidRDefault="00FF5A7E" w:rsidP="004C2DA3">
      <w:pPr>
        <w:bidi/>
        <w:spacing w:before="240"/>
        <w:ind w:firstLine="360"/>
        <w:jc w:val="mediumKashida"/>
        <w:rPr>
          <w:rtl/>
          <w:lang w:bidi="fa-IR"/>
        </w:rPr>
      </w:pPr>
    </w:p>
    <w:p w:rsidR="002527C7" w:rsidRPr="009731A2" w:rsidRDefault="009731A2" w:rsidP="00BB2898">
      <w:pPr>
        <w:pStyle w:val="Heading4"/>
        <w:rPr>
          <w:rtl/>
        </w:rPr>
      </w:pPr>
      <w:r>
        <w:rPr>
          <w:rFonts w:hint="cs"/>
          <w:rtl/>
        </w:rPr>
        <w:t xml:space="preserve">3-1-2) </w:t>
      </w:r>
      <w:r w:rsidR="002527C7" w:rsidRPr="009731A2">
        <w:rPr>
          <w:rFonts w:hint="cs"/>
          <w:rtl/>
        </w:rPr>
        <w:t>نظم عمومی بین‌المللی</w:t>
      </w:r>
    </w:p>
    <w:p w:rsidR="002527C7" w:rsidRPr="002527C7" w:rsidRDefault="002527C7" w:rsidP="004C2DA3">
      <w:pPr>
        <w:bidi/>
        <w:spacing w:before="240"/>
        <w:ind w:firstLine="360"/>
        <w:jc w:val="mediumKashida"/>
        <w:rPr>
          <w:lang w:bidi="fa-IR"/>
        </w:rPr>
      </w:pPr>
      <w:r w:rsidRPr="002527C7">
        <w:rPr>
          <w:rFonts w:hint="cs"/>
          <w:rtl/>
          <w:lang w:bidi="fa-IR"/>
        </w:rPr>
        <w:t>به عنوان مقدمه برای تبیین مفهوم نظم عمومی بین‌‌المللی باید متذکر شد که دکترین نزاکت بین‌المللی اقتضا دارد که در مسائل تجاری بین‌المللی، قانون خارجی، خواه به خاطر تراضی طرفین و خواه به خاطر قواعد حل تعا</w:t>
      </w:r>
      <w:r w:rsidR="00BE0451">
        <w:rPr>
          <w:rFonts w:hint="cs"/>
          <w:rtl/>
          <w:lang w:bidi="fa-IR"/>
        </w:rPr>
        <w:t xml:space="preserve">رض قوانین در کشور دیگر، اعمال </w:t>
      </w:r>
      <w:r w:rsidRPr="002527C7">
        <w:rPr>
          <w:rFonts w:hint="cs"/>
          <w:rtl/>
          <w:lang w:bidi="fa-IR"/>
        </w:rPr>
        <w:t>‌گردد</w:t>
      </w:r>
      <w:r w:rsidR="00BE0451">
        <w:rPr>
          <w:rFonts w:hint="cs"/>
          <w:rtl/>
          <w:lang w:bidi="fa-IR"/>
        </w:rPr>
        <w:t>.</w:t>
      </w:r>
      <w:r w:rsidRPr="002527C7">
        <w:rPr>
          <w:rFonts w:hint="cs"/>
          <w:rtl/>
          <w:lang w:bidi="fa-IR"/>
        </w:rPr>
        <w:t xml:space="preserve"> اما هنگامی که قانونگذار اجازه می‌دهد که در یک فضای تجاری بین‌المللی قانون حکم خارجی اعمال شود، با مسائلی ناشناخته</w:t>
      </w:r>
      <w:r w:rsidRPr="002527C7">
        <w:rPr>
          <w:rtl/>
          <w:lang w:bidi="fa-IR"/>
        </w:rPr>
        <w:softHyphen/>
      </w:r>
      <w:r w:rsidRPr="002527C7">
        <w:rPr>
          <w:rFonts w:hint="cs"/>
          <w:rtl/>
          <w:lang w:bidi="fa-IR"/>
        </w:rPr>
        <w:t>ای روبروست. هر گاه قاضی احراز کند که قانون یا حکم مذکور اگر چه علی‌الاصول قابلیت اعمال را دارد، اما با مفاهیم اساسی و غیر قابل چشم پوشی نظام حقوقی متبوعش در تعارض قرار دارد، آن قانون یا حکم خارجی را اعمال نخواهد کرد. بنابراین نظم عمومی بین‌المللی به تعبیری، «مجموعه سازمان‌ها و قواعد حقوقی است که چنان با مبانی و اصول تمدنی یک کشور مرتبط هستند که ناگزیر بر قوانین خارجی، مقدم می‌شوند».</w:t>
      </w:r>
      <w:r w:rsidRPr="002527C7">
        <w:rPr>
          <w:vertAlign w:val="superscript"/>
          <w:rtl/>
          <w:lang w:bidi="fa-IR"/>
        </w:rPr>
        <w:footnoteReference w:id="107"/>
      </w:r>
    </w:p>
    <w:p w:rsidR="002527C7" w:rsidRPr="002527C7" w:rsidRDefault="002527C7" w:rsidP="004C2DA3">
      <w:pPr>
        <w:bidi/>
        <w:spacing w:before="240"/>
        <w:ind w:firstLine="360"/>
        <w:jc w:val="mediumKashida"/>
        <w:rPr>
          <w:rtl/>
          <w:lang w:bidi="fa-IR"/>
        </w:rPr>
      </w:pPr>
      <w:r w:rsidRPr="002527C7">
        <w:rPr>
          <w:rFonts w:hint="cs"/>
          <w:rtl/>
          <w:lang w:bidi="fa-IR"/>
        </w:rPr>
        <w:t>به تعبیر دیگر نظم عمومی بین‌المللی قسمتی محدود از نظم عمومی یک کشور است، که در سطح بین‌المللی اعمال می‌شود.</w:t>
      </w:r>
      <w:r w:rsidRPr="002527C7">
        <w:rPr>
          <w:vertAlign w:val="superscript"/>
          <w:rtl/>
          <w:lang w:bidi="fa-IR"/>
        </w:rPr>
        <w:footnoteReference w:id="108"/>
      </w:r>
      <w:r w:rsidRPr="002527C7">
        <w:rPr>
          <w:rFonts w:hint="cs"/>
          <w:rtl/>
          <w:lang w:bidi="fa-IR"/>
        </w:rPr>
        <w:t xml:space="preserve"> از سویی نظم عمومی بین‌المللی یک کشور، به معنای مجموعه ارزش‌هایی است که جامعه نمی‌تواند نقض آن‌ها را حتی </w:t>
      </w:r>
      <w:r w:rsidRPr="002527C7">
        <w:rPr>
          <w:rFonts w:hint="cs"/>
          <w:rtl/>
          <w:lang w:bidi="fa-IR"/>
        </w:rPr>
        <w:lastRenderedPageBreak/>
        <w:t>در عرصه بین‌المللی تحمل کند.</w:t>
      </w:r>
      <w:r w:rsidRPr="002527C7">
        <w:rPr>
          <w:vertAlign w:val="superscript"/>
          <w:rtl/>
          <w:lang w:bidi="fa-IR"/>
        </w:rPr>
        <w:footnoteReference w:id="109"/>
      </w:r>
      <w:r w:rsidRPr="002527C7">
        <w:rPr>
          <w:rFonts w:hint="cs"/>
          <w:rtl/>
          <w:lang w:bidi="fa-IR"/>
        </w:rPr>
        <w:t xml:space="preserve"> نظم عمومی بین‌المللی (در مفهوم حقوق بین‌الملل خصوصی، نه حقوق بین‌الملل عمومی) به معنای نظم عمومی مشترک بین کلیه کشورها نیست بلکه برخی این نوع نظم عمومی را نقطه تعادل بین منافع و نظم عمومی یک کشور با نظم عمومی و منافع دیگر ملل و نیازهای تجارت بین‌الملل می‌دانند.</w:t>
      </w:r>
      <w:r w:rsidRPr="002527C7">
        <w:rPr>
          <w:vertAlign w:val="superscript"/>
          <w:rtl/>
          <w:lang w:bidi="fa-IR"/>
        </w:rPr>
        <w:footnoteReference w:id="110"/>
      </w:r>
      <w:r w:rsidRPr="002527C7">
        <w:rPr>
          <w:rFonts w:hint="cs"/>
          <w:rtl/>
          <w:lang w:bidi="fa-IR"/>
        </w:rPr>
        <w:t xml:space="preserve"> </w:t>
      </w:r>
    </w:p>
    <w:p w:rsidR="002527C7" w:rsidRPr="002527C7" w:rsidRDefault="002527C7" w:rsidP="004C2DA3">
      <w:pPr>
        <w:bidi/>
        <w:spacing w:before="240"/>
        <w:ind w:firstLine="360"/>
        <w:jc w:val="mediumKashida"/>
        <w:rPr>
          <w:rtl/>
          <w:lang w:bidi="fa-IR"/>
        </w:rPr>
      </w:pPr>
      <w:r w:rsidRPr="002527C7">
        <w:rPr>
          <w:rFonts w:hint="cs"/>
          <w:rtl/>
          <w:lang w:bidi="fa-IR"/>
        </w:rPr>
        <w:t>در مقام مقایسه میان موضوعات نظم عمومی بین‌المللی و نظم عمومی ملی، باید گفت که موضوعات قسم نخست محدودتر است. رابطه منطقی بین این دو نوع از اقسام این مفهوم، عموم و خصوص مطلق است، بدین معنا که تمامی مصادیق نظم عمومی بین‌المللی، مصداقی از نظم عمومی ملی هستند اما کلیه‌ی مصادیق نظم عمومی ملی جزء نظم عمومی بین‌المللی به‌شمار نمی‌آیند. در واقع این‌گونه است که نظم عمومی بین‌المللی مفهوم و گستره‌‌‌‌‌‌‌‌‌‌‌‌‌‌ی شمول محدودتری نسبت به نظم عمومی ملی دارد و زیر مجموعه آن محسوب می</w:t>
      </w:r>
      <w:r w:rsidRPr="002527C7">
        <w:rPr>
          <w:rtl/>
          <w:lang w:bidi="fa-IR"/>
        </w:rPr>
        <w:softHyphen/>
      </w:r>
      <w:r w:rsidRPr="002527C7">
        <w:rPr>
          <w:rFonts w:hint="cs"/>
          <w:rtl/>
          <w:lang w:bidi="fa-IR"/>
        </w:rPr>
        <w:t>شود و نتیجتاً اگر موضوعی در میان موضوعات نظم عمومی ملی نگنجد، شامل حال نظم عمومی بین‌المللی هم نخواهد شد.</w:t>
      </w:r>
      <w:r w:rsidRPr="002527C7">
        <w:rPr>
          <w:vertAlign w:val="superscript"/>
          <w:rtl/>
          <w:lang w:bidi="fa-IR"/>
        </w:rPr>
        <w:footnoteReference w:id="111"/>
      </w:r>
    </w:p>
    <w:p w:rsidR="002527C7" w:rsidRPr="002527C7" w:rsidRDefault="002527C7" w:rsidP="004C2DA3">
      <w:pPr>
        <w:bidi/>
        <w:spacing w:before="240"/>
        <w:ind w:firstLine="360"/>
        <w:jc w:val="mediumKashida"/>
        <w:rPr>
          <w:lang w:bidi="fa-IR"/>
        </w:rPr>
      </w:pPr>
      <w:r w:rsidRPr="002527C7">
        <w:rPr>
          <w:rFonts w:hint="cs"/>
          <w:rtl/>
          <w:lang w:bidi="fa-IR"/>
        </w:rPr>
        <w:t>یکی دیگر از موارد مهمی که در این قسمت باید مورد توجه قرار بگیرد، این است که نظم عمومی بین المللی در مفهوم حقوق بین</w:t>
      </w:r>
      <w:r w:rsidRPr="002527C7">
        <w:rPr>
          <w:rtl/>
          <w:lang w:bidi="fa-IR"/>
        </w:rPr>
        <w:softHyphen/>
      </w:r>
      <w:r w:rsidRPr="002527C7">
        <w:rPr>
          <w:rFonts w:hint="cs"/>
          <w:rtl/>
          <w:lang w:bidi="fa-IR"/>
        </w:rPr>
        <w:t xml:space="preserve">الملل عمومی، جزئی از حقوق بین‌الملل عمومی است که در رابطه با تابعان حقوق بین‌الملل عمومی قابل اعمال می </w:t>
      </w:r>
      <w:r w:rsidRPr="002527C7">
        <w:rPr>
          <w:rFonts w:hint="cs"/>
          <w:rtl/>
          <w:lang w:bidi="fa-IR"/>
        </w:rPr>
        <w:lastRenderedPageBreak/>
        <w:t>باشد، در صورتی که نظم عمومی بین‌المللی به مفهوم اولیه مورد نظر در داوری تجاری بین‌المللی، جزئی از حقوق بین‌الملل خصوصی و بخشی از نظم عمومی ملی است. در مفهوم مورد نظر در حقوق بین‌الملل خصوصی به تعداد کشورهای جهان نظم عمومی وجود دارد، اما در مفهوم نظم عمومی حقوق بین‌الملل عمومی فقط یک نظم وجود دارد. در حقیقت معیار نظم عمومی بین‌المللی در حقوق بین‌الملل خصوصی از کشوری به کشور دیگر متغیر است و مرجع رسیدگی کننده در این گونه دعاوی بین‌المللی باید به مصادیق موجود در حقوق ملی متبوع خود مراجعه کند. در صورتی که نظم عمومی حقوق بین‌الملل عمومی، اصول و قواعدی کلی است که برای جامعه بین‌المللی از اهمیت بسیار زیادی برخوردار است تا آن‌جا که هر عملی خلاف آن فاقد اعتبار لازم است.</w:t>
      </w:r>
      <w:r w:rsidRPr="002527C7">
        <w:rPr>
          <w:vertAlign w:val="superscript"/>
          <w:rtl/>
          <w:lang w:bidi="fa-IR"/>
        </w:rPr>
        <w:footnoteReference w:id="112"/>
      </w:r>
      <w:r w:rsidRPr="002527C7">
        <w:rPr>
          <w:rFonts w:hint="cs"/>
          <w:rtl/>
          <w:lang w:bidi="fa-IR"/>
        </w:rPr>
        <w:t xml:space="preserve"> این اصول بنیادین در اسناد بین‌المللی مانند منشور سازمان ملل متحد درج شده است و در تصمیماتی که در سطح جهانی یا منطقه‌ای اتخاذ می‌شود به‌کار می‌رود (مانند اصل منع توسل به زور)؛ این اصول میان دولت‌های مختلف، مشترک بوده و در روابط بین‌المللی به عنوان قاعده آمره بین‌المللی پذیرفته شده است.</w:t>
      </w:r>
      <w:r w:rsidRPr="002527C7">
        <w:rPr>
          <w:vertAlign w:val="superscript"/>
          <w:rtl/>
          <w:lang w:bidi="fa-IR"/>
        </w:rPr>
        <w:footnoteReference w:id="113"/>
      </w:r>
      <w:r w:rsidRPr="002527C7">
        <w:rPr>
          <w:rFonts w:hint="cs"/>
          <w:rtl/>
          <w:lang w:bidi="fa-IR"/>
        </w:rPr>
        <w:t xml:space="preserve"> برخی نویسندگان نیز مفهوم نظم عمومی مورد استفاده در حقوق بین‌الملل خصوصی و داوری‌های تجاری بین‌المللی را با مفهوم نظم عمومی بین‌المللی در حقوق بین‌الملل عمومی معادل دانسته‌اند.</w:t>
      </w:r>
      <w:r w:rsidRPr="002527C7">
        <w:rPr>
          <w:vertAlign w:val="superscript"/>
          <w:rtl/>
          <w:lang w:bidi="fa-IR"/>
        </w:rPr>
        <w:footnoteReference w:id="114"/>
      </w:r>
      <w:r w:rsidRPr="002527C7">
        <w:rPr>
          <w:rFonts w:hint="cs"/>
          <w:rtl/>
          <w:lang w:bidi="fa-IR"/>
        </w:rPr>
        <w:t xml:space="preserve"> </w:t>
      </w:r>
    </w:p>
    <w:p w:rsidR="002527C7" w:rsidRPr="002527C7" w:rsidRDefault="002527C7" w:rsidP="004C2DA3">
      <w:pPr>
        <w:bidi/>
        <w:spacing w:before="240"/>
        <w:ind w:firstLine="360"/>
        <w:jc w:val="mediumKashida"/>
        <w:rPr>
          <w:b/>
          <w:bCs/>
          <w:lang w:bidi="fa-IR"/>
        </w:rPr>
      </w:pPr>
      <w:r w:rsidRPr="002527C7">
        <w:rPr>
          <w:rFonts w:hint="cs"/>
          <w:rtl/>
          <w:lang w:bidi="fa-IR"/>
        </w:rPr>
        <w:t xml:space="preserve">اما این‌گونه به نظر می‌رسد که هیچ ارتباط مستقیمی بین نظم عمومی در داوری‌های تجاری بین‌المللی و نظم عمومی حقوق بین‌الملل عمومی وجود ندارد. </w:t>
      </w:r>
      <w:r w:rsidRPr="002527C7">
        <w:rPr>
          <w:rFonts w:hint="cs"/>
          <w:rtl/>
          <w:lang w:bidi="fa-IR"/>
        </w:rPr>
        <w:lastRenderedPageBreak/>
        <w:t xml:space="preserve">رسالت نظم عمومی ملی(که اعم از نظم عموی داخلی و نظم عمومی بین‌المللی و قواعد انتظامی است) حفظ هنجارهای اساسی یک کشور خاص است، حتی اگر قاعده مورد نظر مختص همان کشور باشد. در واقع اساس این نظم را میزان اهمیت یک قاعده در یک کشور تشکیل می‌دهد؛ قاعده‌ای که تمام موانع تاب مقاومت در برابر آن را ندارند و در هر سطح و مرحله‌ای خود را تحمیل می‌کند. </w:t>
      </w:r>
    </w:p>
    <w:p w:rsidR="00E63F34" w:rsidRPr="002527C7" w:rsidRDefault="00E63F34" w:rsidP="00341FD2">
      <w:pPr>
        <w:bidi/>
        <w:spacing w:before="240"/>
        <w:jc w:val="mediumKashida"/>
        <w:rPr>
          <w:b/>
          <w:bCs/>
          <w:lang w:bidi="fa-IR"/>
        </w:rPr>
      </w:pPr>
    </w:p>
    <w:p w:rsidR="00341FD2" w:rsidRPr="00341FD2" w:rsidRDefault="009731A2" w:rsidP="00341FD2">
      <w:pPr>
        <w:pStyle w:val="Heading4"/>
        <w:rPr>
          <w:rtl/>
        </w:rPr>
      </w:pPr>
      <w:r>
        <w:rPr>
          <w:rFonts w:hint="cs"/>
          <w:rtl/>
        </w:rPr>
        <w:t>3-1-3)</w:t>
      </w:r>
      <w:r w:rsidR="002527C7" w:rsidRPr="009731A2">
        <w:rPr>
          <w:rFonts w:hint="cs"/>
          <w:rtl/>
        </w:rPr>
        <w:t xml:space="preserve"> قواعد انتظامی</w:t>
      </w:r>
    </w:p>
    <w:p w:rsidR="002527C7" w:rsidRPr="002527C7" w:rsidRDefault="002527C7" w:rsidP="004C2DA3">
      <w:pPr>
        <w:bidi/>
        <w:spacing w:before="240"/>
        <w:ind w:firstLine="360"/>
        <w:jc w:val="mediumKashida"/>
        <w:rPr>
          <w:rtl/>
          <w:lang w:bidi="fa-IR"/>
        </w:rPr>
      </w:pPr>
      <w:r w:rsidRPr="002527C7">
        <w:rPr>
          <w:rFonts w:hint="cs"/>
          <w:rtl/>
          <w:lang w:bidi="fa-IR"/>
        </w:rPr>
        <w:t>برخی نویسندگان از «قواعد انتظامی» به عنوان یکی از اقسام نظم عمومی ملی یاد می‌کنند.</w:t>
      </w:r>
      <w:r w:rsidRPr="002527C7">
        <w:rPr>
          <w:vertAlign w:val="superscript"/>
          <w:rtl/>
          <w:lang w:bidi="fa-IR"/>
        </w:rPr>
        <w:footnoteReference w:id="115"/>
      </w:r>
      <w:r w:rsidRPr="002527C7">
        <w:rPr>
          <w:rFonts w:hint="cs"/>
          <w:rtl/>
          <w:lang w:bidi="fa-IR"/>
        </w:rPr>
        <w:t xml:space="preserve"> فایده قوانین مربوط به انتظامات برای یک جامعه خاص و معین به اندازه‌ای زیاد است که با قوانین و احکام خارجی قابل مقایسه نیستند و اصولاً به همین لحاظ قلمرو اجرای آن‌ها تابع و وابسته به هدف آن‌ها است.</w:t>
      </w:r>
      <w:r w:rsidRPr="002527C7">
        <w:rPr>
          <w:vertAlign w:val="superscript"/>
          <w:rtl/>
          <w:lang w:bidi="fa-IR"/>
        </w:rPr>
        <w:footnoteReference w:id="116"/>
      </w:r>
      <w:r w:rsidRPr="002527C7">
        <w:rPr>
          <w:rFonts w:hint="cs"/>
          <w:rtl/>
          <w:lang w:bidi="fa-IR"/>
        </w:rPr>
        <w:t xml:space="preserve"> در حقوق عمومی قواعدی وجود دارد که تحت عناوینی از قبیل قواعد انتظامی یا قواعد عمومی یا انتظامات عمومی از آن یاد می‌شود و مراد از آن قواعدی است که رعایت آن لازمه حفظ و نگهداری سازمان سیاسی و اقتصادی و اجتماعی کشور است؛</w:t>
      </w:r>
      <w:r w:rsidRPr="002527C7">
        <w:rPr>
          <w:vertAlign w:val="superscript"/>
          <w:rtl/>
          <w:lang w:bidi="fa-IR"/>
        </w:rPr>
        <w:footnoteReference w:id="117"/>
      </w:r>
      <w:r w:rsidRPr="002527C7">
        <w:rPr>
          <w:rFonts w:hint="cs"/>
          <w:rtl/>
          <w:lang w:bidi="fa-IR"/>
        </w:rPr>
        <w:t xml:space="preserve">این قواعد می‌تواند مقررات ارزی و محدودیت‌های گمرکی و مالیاتی باشد که صرف‌نظر از </w:t>
      </w:r>
      <w:r w:rsidRPr="002527C7">
        <w:rPr>
          <w:rFonts w:hint="cs"/>
          <w:rtl/>
          <w:lang w:bidi="fa-IR"/>
        </w:rPr>
        <w:lastRenderedPageBreak/>
        <w:t>قانون حاکم بر هر قرارداد تجاری بین‌المللی، باید از سوی دادرس یا داور مربوطه لحاظ شود.</w:t>
      </w:r>
      <w:r w:rsidRPr="002527C7">
        <w:rPr>
          <w:vertAlign w:val="superscript"/>
          <w:rtl/>
          <w:lang w:bidi="fa-IR"/>
        </w:rPr>
        <w:footnoteReference w:id="118"/>
      </w:r>
      <w:r w:rsidRPr="002527C7">
        <w:rPr>
          <w:rFonts w:hint="cs"/>
          <w:rtl/>
          <w:lang w:bidi="fa-IR"/>
        </w:rPr>
        <w:t xml:space="preserve"> </w:t>
      </w:r>
    </w:p>
    <w:p w:rsidR="002527C7" w:rsidRPr="002527C7" w:rsidRDefault="002527C7" w:rsidP="004C2DA3">
      <w:pPr>
        <w:bidi/>
        <w:spacing w:before="240"/>
        <w:ind w:firstLine="360"/>
        <w:jc w:val="mediumKashida"/>
        <w:rPr>
          <w:rtl/>
          <w:lang w:bidi="fa-IR"/>
        </w:rPr>
      </w:pPr>
      <w:r w:rsidRPr="002527C7">
        <w:rPr>
          <w:rFonts w:hint="cs"/>
          <w:rtl/>
          <w:lang w:bidi="fa-IR"/>
        </w:rPr>
        <w:t>قاضی در برخورد با موارد مربوط به مغایرت با قواعد انتظامی، باید بین قوانین مربوط به انتظامات مقر دادگاه و قانون یا حکم خارجی قائل به تفکیک شود. قوانین مربوط به انتظامات مقر دادگاه چنان اولویت طبیعی دارند که باید در هر صورت اعمال و اجرا شوند.</w:t>
      </w:r>
      <w:r w:rsidRPr="002527C7">
        <w:rPr>
          <w:vertAlign w:val="superscript"/>
          <w:rtl/>
          <w:lang w:bidi="fa-IR"/>
        </w:rPr>
        <w:footnoteReference w:id="119"/>
      </w:r>
    </w:p>
    <w:p w:rsidR="002527C7" w:rsidRDefault="002527C7" w:rsidP="004C2DA3">
      <w:pPr>
        <w:bidi/>
        <w:spacing w:before="240"/>
        <w:ind w:firstLine="360"/>
        <w:jc w:val="mediumKashida"/>
        <w:rPr>
          <w:b/>
          <w:bCs/>
          <w:rtl/>
          <w:lang w:bidi="fa-IR"/>
        </w:rPr>
      </w:pPr>
    </w:p>
    <w:p w:rsidR="002527C7" w:rsidRDefault="007F30CC" w:rsidP="000A47F6">
      <w:pPr>
        <w:pStyle w:val="Heading3"/>
        <w:rPr>
          <w:rtl/>
        </w:rPr>
      </w:pPr>
      <w:bookmarkStart w:id="14" w:name="_Toc397212641"/>
      <w:r w:rsidRPr="00E63F34">
        <w:rPr>
          <w:rFonts w:hint="cs"/>
          <w:rtl/>
        </w:rPr>
        <w:t xml:space="preserve">3-2) </w:t>
      </w:r>
      <w:r w:rsidR="002527C7" w:rsidRPr="00E63F34">
        <w:rPr>
          <w:rFonts w:hint="cs"/>
          <w:rtl/>
        </w:rPr>
        <w:t>نظم عمومی فراملی</w:t>
      </w:r>
      <w:bookmarkEnd w:id="14"/>
    </w:p>
    <w:p w:rsidR="00341FD2" w:rsidRPr="00341FD2" w:rsidRDefault="00341FD2" w:rsidP="00341FD2">
      <w:pPr>
        <w:rPr>
          <w:rtl/>
          <w:lang w:bidi="fa-IR"/>
        </w:rPr>
      </w:pPr>
    </w:p>
    <w:p w:rsidR="00B56612" w:rsidRDefault="002527C7" w:rsidP="004C2DA3">
      <w:pPr>
        <w:bidi/>
        <w:spacing w:before="240"/>
        <w:ind w:firstLine="360"/>
        <w:jc w:val="mediumKashida"/>
        <w:rPr>
          <w:rtl/>
          <w:lang w:bidi="fa-IR"/>
        </w:rPr>
      </w:pPr>
      <w:r w:rsidRPr="002527C7">
        <w:rPr>
          <w:rFonts w:hint="cs"/>
          <w:rtl/>
          <w:lang w:bidi="fa-IR"/>
        </w:rPr>
        <w:t>در حوزه داوری تجاری بین‌المللی روز به روز تمایل به کنار گذاشتن قوانین و نظام‌های حقوق ملی رو به گسترش است، در این راستا در کنار ظهور مفهوم «قانون فراملی» می‌توان از پیدایش مفهوم جدیدی از نظم عمومی تحت عنوان «نظم عمومی فراملی» سخن راند. منظور از این اصطلاح، برخی اصول اساسی مشترک میان اغلب نظام‌های حقوقی و تجارت بین‌المللی است که مقبولیت عامه یافته و از آن به نظم عمومی فراملی تعبیر می‌شود.</w:t>
      </w:r>
    </w:p>
    <w:p w:rsidR="002527C7" w:rsidRPr="002527C7" w:rsidRDefault="002527C7" w:rsidP="004C2DA3">
      <w:pPr>
        <w:bidi/>
        <w:spacing w:before="240"/>
        <w:ind w:firstLine="360"/>
        <w:jc w:val="mediumKashida"/>
        <w:rPr>
          <w:rtl/>
          <w:lang w:bidi="fa-IR"/>
        </w:rPr>
      </w:pPr>
      <w:r w:rsidRPr="002527C7">
        <w:rPr>
          <w:rFonts w:hint="cs"/>
          <w:rtl/>
          <w:lang w:bidi="fa-IR"/>
        </w:rPr>
        <w:t xml:space="preserve">تعاریف متعددی از سوی نویسندگان حقوقی در مورد نظم عمومی فراملی مطرح شده است که در اینجا به ذکر برخی از آن‌ها می‌پردازیم: عده‌ای، این نوع از نظم عمومی را شامل قواعد اساسی حقوق طبیعی، اصول عدالت جهانی، قواعد آمره </w:t>
      </w:r>
      <w:r w:rsidRPr="002527C7">
        <w:rPr>
          <w:rFonts w:hint="cs"/>
          <w:rtl/>
          <w:lang w:bidi="fa-IR"/>
        </w:rPr>
        <w:lastRenderedPageBreak/>
        <w:t>حقوق بین‌الملل عمومی و اصول کلی اخلاقی پذیرفته شده توسط آن‌چه که ملل متمدن خوانده می‌شود، می‌دانند.</w:t>
      </w:r>
      <w:r w:rsidRPr="002527C7">
        <w:rPr>
          <w:vertAlign w:val="superscript"/>
          <w:rtl/>
          <w:lang w:bidi="fa-IR"/>
        </w:rPr>
        <w:footnoteReference w:id="120"/>
      </w:r>
      <w:r w:rsidRPr="002527C7">
        <w:rPr>
          <w:rFonts w:hint="cs"/>
          <w:rtl/>
          <w:lang w:bidi="fa-IR"/>
        </w:rPr>
        <w:t>برخی دیگر نظم عمومی فراملی را معرف اجماع بین‌المللی در خصوص هنجارهای پذیرفته‌شده‌ی بین‌المللی می‌دانند. به این دیدگاه این‌گونه پاسخ داده شده است که اجماع بین‌المللی، حتی در بهترین حالات قابل بحث و مناقشه است و لذا نظم عمومی فراملی، حتی به فرض وجود، دقیقاً غیرقابل پیش‌بینی و تحقق و اعمال آن دشوار است.</w:t>
      </w:r>
      <w:r w:rsidRPr="002527C7">
        <w:rPr>
          <w:vertAlign w:val="superscript"/>
          <w:rtl/>
          <w:lang w:bidi="fa-IR"/>
        </w:rPr>
        <w:footnoteReference w:id="121"/>
      </w:r>
    </w:p>
    <w:p w:rsidR="002527C7" w:rsidRPr="002527C7" w:rsidRDefault="002527C7" w:rsidP="004C2DA3">
      <w:pPr>
        <w:bidi/>
        <w:spacing w:before="240"/>
        <w:ind w:firstLine="360"/>
        <w:jc w:val="mediumKashida"/>
        <w:rPr>
          <w:rtl/>
          <w:lang w:bidi="fa-IR"/>
        </w:rPr>
      </w:pPr>
      <w:r w:rsidRPr="002527C7">
        <w:rPr>
          <w:rFonts w:hint="cs"/>
          <w:rtl/>
          <w:lang w:bidi="fa-IR"/>
        </w:rPr>
        <w:t>شاید این‌گونه به ذهن متبادر شود که تعاریف ارئه شده از نظم عمومی فراملی آن را بسیار به نظم عمومی حقوق بین‌الملل عمومی نزدیک می‌کند، اما با اندکی دقت در‌می‌یابیم که نظم عمومی دسته اول در حوزه حقوق خصوصی است و نظم عمومی دسته‌ی دوم ناظر بر روابط دارای جنبه‌ی عمومی است و مربوط به تعهدات کشورها در عرصه بین‌المللی می‌باشد.</w:t>
      </w:r>
    </w:p>
    <w:p w:rsidR="002527C7" w:rsidRPr="002527C7" w:rsidRDefault="002527C7" w:rsidP="004C2DA3">
      <w:pPr>
        <w:bidi/>
        <w:spacing w:before="240"/>
        <w:ind w:firstLine="360"/>
        <w:jc w:val="mediumKashida"/>
        <w:rPr>
          <w:rtl/>
          <w:lang w:bidi="fa-IR"/>
        </w:rPr>
      </w:pPr>
      <w:r w:rsidRPr="002527C7">
        <w:rPr>
          <w:rFonts w:hint="cs"/>
          <w:rtl/>
          <w:lang w:bidi="fa-IR"/>
        </w:rPr>
        <w:t xml:space="preserve">برخی مفسرین مفهوم </w:t>
      </w:r>
      <w:r w:rsidR="00A80D92">
        <w:rPr>
          <w:rFonts w:hint="cs"/>
          <w:rtl/>
          <w:lang w:bidi="fa-IR"/>
        </w:rPr>
        <w:t>ن</w:t>
      </w:r>
      <w:r w:rsidRPr="002527C7">
        <w:rPr>
          <w:rFonts w:hint="cs"/>
          <w:rtl/>
          <w:lang w:bidi="fa-IR"/>
        </w:rPr>
        <w:t>ظم عمومی فراملی را مورد پذیرش قرار نداده‌‌اند؛ چرا که معتقدند این مفهوم ظاهر مشخصی ندارد و ابهامات زیادی هنوز پیرامونش باقی است و چگونگی تمییز آن از انواع دیگر نظم عمومی واضح و روشن نیست.</w:t>
      </w:r>
      <w:r w:rsidRPr="002527C7">
        <w:rPr>
          <w:vertAlign w:val="superscript"/>
          <w:rtl/>
          <w:lang w:bidi="fa-IR"/>
        </w:rPr>
        <w:footnoteReference w:id="122"/>
      </w:r>
      <w:r w:rsidRPr="002527C7">
        <w:rPr>
          <w:rFonts w:hint="cs"/>
          <w:rtl/>
          <w:lang w:bidi="fa-IR"/>
        </w:rPr>
        <w:t xml:space="preserve"> اما در مقابل حقوقدانانی چون «گلدمن»</w:t>
      </w:r>
      <w:r w:rsidRPr="002527C7">
        <w:rPr>
          <w:vertAlign w:val="superscript"/>
          <w:rtl/>
          <w:lang w:bidi="fa-IR"/>
        </w:rPr>
        <w:footnoteReference w:id="123"/>
      </w:r>
      <w:r w:rsidRPr="002527C7">
        <w:rPr>
          <w:rFonts w:hint="cs"/>
          <w:rtl/>
          <w:lang w:bidi="fa-IR"/>
        </w:rPr>
        <w:t xml:space="preserve"> با تأیید وجود این نظم آن را یک نظم عمومی فرامرزی قلمداد کرده‌اند.</w:t>
      </w:r>
      <w:r w:rsidRPr="002527C7">
        <w:rPr>
          <w:vertAlign w:val="superscript"/>
          <w:rtl/>
          <w:lang w:bidi="fa-IR"/>
        </w:rPr>
        <w:footnoteReference w:id="124"/>
      </w:r>
      <w:r w:rsidRPr="002527C7">
        <w:rPr>
          <w:rFonts w:hint="cs"/>
          <w:rtl/>
          <w:lang w:bidi="fa-IR"/>
        </w:rPr>
        <w:t xml:space="preserve"> از دیدگاه مدافعان نظم عمومی فراملی، این نوع نظم </w:t>
      </w:r>
      <w:r w:rsidRPr="002527C7">
        <w:rPr>
          <w:rFonts w:hint="cs"/>
          <w:rtl/>
          <w:lang w:bidi="fa-IR"/>
        </w:rPr>
        <w:lastRenderedPageBreak/>
        <w:t>عمومی وقتی قابل اعمال است که موضوع داوری بین‌المللی تحت حاکمیت «حقوق بازرگانی فراملی»</w:t>
      </w:r>
      <w:r w:rsidRPr="002527C7">
        <w:rPr>
          <w:vertAlign w:val="superscript"/>
          <w:rtl/>
          <w:lang w:bidi="fa-IR"/>
        </w:rPr>
        <w:footnoteReference w:id="125"/>
      </w:r>
      <w:r w:rsidRPr="002527C7">
        <w:rPr>
          <w:rFonts w:hint="cs"/>
          <w:rtl/>
          <w:lang w:bidi="fa-IR"/>
        </w:rPr>
        <w:t xml:space="preserve"> باشد.</w:t>
      </w:r>
      <w:r w:rsidRPr="002527C7">
        <w:rPr>
          <w:vertAlign w:val="superscript"/>
          <w:rtl/>
          <w:lang w:bidi="fa-IR"/>
        </w:rPr>
        <w:footnoteReference w:id="126"/>
      </w:r>
    </w:p>
    <w:p w:rsidR="002527C7" w:rsidRPr="002527C7" w:rsidRDefault="002527C7" w:rsidP="004C2DA3">
      <w:pPr>
        <w:bidi/>
        <w:spacing w:before="240"/>
        <w:ind w:firstLine="360"/>
        <w:jc w:val="mediumKashida"/>
        <w:rPr>
          <w:rtl/>
          <w:lang w:bidi="fa-IR"/>
        </w:rPr>
      </w:pPr>
      <w:r w:rsidRPr="002527C7">
        <w:rPr>
          <w:rFonts w:hint="cs"/>
          <w:rtl/>
          <w:lang w:bidi="fa-IR"/>
        </w:rPr>
        <w:t>با وجود تمام امتیازاتی که نظم عمومی فراملی می‌تواند داشته باشد، اما مفسرین حقوقی کشورهای در حال توسعه، آن‌چنان به این وعده‌ی داشتن قوانین یکسان در سطح جهانی خوشبین نیستند؛ به طوری که برخی بر این باورند که ایده‌ی حقوق بازرگانی و نظم عمومی فراملی تلاشی است در راستای جا انداختن نیات و شگردهای بعضی کشورهای خاص و معدود برای تمام ملت‌ها و جا زدن آن در سطوح مختلف جهانی. مدعیان چنین نظمی به دنبال منافع کشورها و شرکت‌های مورد نظر خویش هستند و در پی تحمیل قواعدی به ملل ضعیف می‌باشند که منافع نامشروع مورد نظرشان را تأمین می‌کند.</w:t>
      </w:r>
      <w:r w:rsidRPr="002527C7">
        <w:rPr>
          <w:vertAlign w:val="superscript"/>
          <w:rtl/>
          <w:lang w:bidi="fa-IR"/>
        </w:rPr>
        <w:footnoteReference w:id="127"/>
      </w:r>
      <w:r w:rsidRPr="002527C7">
        <w:rPr>
          <w:lang w:bidi="fa-IR"/>
        </w:rPr>
        <w:t xml:space="preserve"> </w:t>
      </w:r>
    </w:p>
    <w:p w:rsidR="006E2D6D" w:rsidRPr="002527C7" w:rsidRDefault="002527C7" w:rsidP="00033961">
      <w:pPr>
        <w:bidi/>
        <w:spacing w:before="240"/>
        <w:ind w:firstLine="360"/>
        <w:jc w:val="mediumKashida"/>
        <w:rPr>
          <w:lang w:bidi="fa-IR"/>
        </w:rPr>
      </w:pPr>
      <w:r w:rsidRPr="002527C7">
        <w:rPr>
          <w:rFonts w:hint="cs"/>
          <w:rtl/>
          <w:lang w:bidi="fa-IR"/>
        </w:rPr>
        <w:t>واقعیت این است که با وجود پیدایش مفهوم نظم عمومی فراملی و پذیرش آن از سوی برخی صاحب‌نظران و مراجع داوری، نمی‌توان جایگاه موجهی برای این قسم از نظم عمومی در رویه عملی قائل شد.</w:t>
      </w:r>
    </w:p>
    <w:p w:rsidR="002527C7" w:rsidRDefault="00FF5A7E" w:rsidP="004C2DA3">
      <w:pPr>
        <w:pStyle w:val="Heading2"/>
        <w:bidi/>
        <w:ind w:firstLine="360"/>
        <w:jc w:val="center"/>
        <w:rPr>
          <w:lang w:bidi="fa-IR"/>
        </w:rPr>
      </w:pPr>
      <w:bookmarkStart w:id="15" w:name="_Toc397212642"/>
      <w:r w:rsidRPr="007F30CC">
        <w:rPr>
          <w:rFonts w:hint="cs"/>
          <w:rtl/>
          <w:lang w:bidi="fa-IR"/>
        </w:rPr>
        <w:t>گفتار چهارم</w:t>
      </w:r>
      <w:r w:rsidR="002527C7" w:rsidRPr="007F30CC">
        <w:rPr>
          <w:rFonts w:hint="cs"/>
          <w:rtl/>
          <w:lang w:bidi="fa-IR"/>
        </w:rPr>
        <w:t>: دامنه نظم عمومی</w:t>
      </w:r>
      <w:bookmarkEnd w:id="15"/>
    </w:p>
    <w:p w:rsidR="006C7F74" w:rsidRPr="006C7F74" w:rsidRDefault="006C7F74" w:rsidP="006C7F74">
      <w:pPr>
        <w:bidi/>
        <w:rPr>
          <w:rtl/>
          <w:lang w:bidi="fa-IR"/>
        </w:rPr>
      </w:pPr>
    </w:p>
    <w:p w:rsidR="00CA4A85" w:rsidRDefault="002527C7" w:rsidP="006E2D6D">
      <w:pPr>
        <w:bidi/>
        <w:spacing w:before="240"/>
        <w:ind w:firstLine="360"/>
        <w:jc w:val="mediumKashida"/>
        <w:rPr>
          <w:lang w:bidi="fa-IR"/>
        </w:rPr>
      </w:pPr>
      <w:r w:rsidRPr="002527C7">
        <w:rPr>
          <w:rFonts w:hint="cs"/>
          <w:rtl/>
          <w:lang w:bidi="fa-IR"/>
        </w:rPr>
        <w:lastRenderedPageBreak/>
        <w:t>این موضوع به طور کلی پذیرفته شده است، ‌که دامنه نظم عمومی، هم مسائل شکلی و هم ماهوی را در برمی‌گیرد:</w:t>
      </w:r>
    </w:p>
    <w:p w:rsidR="006E2D6D" w:rsidRPr="002527C7" w:rsidRDefault="006E2D6D" w:rsidP="006E2D6D">
      <w:pPr>
        <w:bidi/>
        <w:spacing w:before="240"/>
        <w:ind w:firstLine="360"/>
        <w:jc w:val="mediumKashida"/>
        <w:rPr>
          <w:lang w:bidi="fa-IR"/>
        </w:rPr>
      </w:pPr>
    </w:p>
    <w:p w:rsidR="002527C7" w:rsidRDefault="007F30CC" w:rsidP="000A47F6">
      <w:pPr>
        <w:pStyle w:val="Heading3"/>
      </w:pPr>
      <w:bookmarkStart w:id="16" w:name="_Toc397212643"/>
      <w:r>
        <w:rPr>
          <w:rFonts w:hint="cs"/>
          <w:rtl/>
        </w:rPr>
        <w:t xml:space="preserve">4-1) </w:t>
      </w:r>
      <w:r w:rsidR="002527C7" w:rsidRPr="007F30CC">
        <w:rPr>
          <w:rFonts w:hint="cs"/>
          <w:rtl/>
        </w:rPr>
        <w:t>نظم عمومی شکلی</w:t>
      </w:r>
      <w:bookmarkEnd w:id="16"/>
    </w:p>
    <w:p w:rsidR="006C7F74" w:rsidRPr="006C7F74" w:rsidRDefault="006C7F74" w:rsidP="006C7F74">
      <w:pPr>
        <w:rPr>
          <w:rtl/>
          <w:lang w:bidi="fa-IR"/>
        </w:rPr>
      </w:pPr>
    </w:p>
    <w:p w:rsidR="002527C7" w:rsidRPr="002527C7" w:rsidRDefault="002527C7" w:rsidP="004C2DA3">
      <w:pPr>
        <w:bidi/>
        <w:spacing w:before="240"/>
        <w:ind w:firstLine="360"/>
        <w:jc w:val="mediumKashida"/>
        <w:rPr>
          <w:rtl/>
          <w:lang w:bidi="fa-IR"/>
        </w:rPr>
      </w:pPr>
      <w:r w:rsidRPr="002527C7">
        <w:rPr>
          <w:rFonts w:hint="cs"/>
          <w:rtl/>
          <w:lang w:bidi="fa-IR"/>
        </w:rPr>
        <w:t>مفهوم نظم عمومی تشریفاتی و شکلی به صورت گسترده‌ای در سطح جهانی به رسمیت شناخته شده است.</w:t>
      </w:r>
      <w:r w:rsidRPr="002527C7">
        <w:rPr>
          <w:vertAlign w:val="superscript"/>
          <w:rtl/>
          <w:lang w:bidi="fa-IR"/>
        </w:rPr>
        <w:footnoteReference w:id="128"/>
      </w:r>
      <w:r w:rsidRPr="002527C7">
        <w:rPr>
          <w:rFonts w:hint="cs"/>
          <w:rtl/>
          <w:lang w:bidi="fa-IR"/>
        </w:rPr>
        <w:t xml:space="preserve"> از جمله مهم‌ترین مصادیق نظم عمومی شکلی در رابطه با داوری، اصول دادرسی منصفانه است که شامل، رفتار برابر با طرفین، تشکیل منصفانه دیوان داوری، رعایت انصاف و عدالت در رسیدگی به دلایل و دفاعیات و لزوم رعایت بی‌طرفی داوران می‌باشد.</w:t>
      </w:r>
      <w:r w:rsidRPr="002527C7">
        <w:rPr>
          <w:vertAlign w:val="superscript"/>
          <w:rtl/>
          <w:lang w:bidi="fa-IR"/>
        </w:rPr>
        <w:footnoteReference w:id="129"/>
      </w:r>
      <w:r w:rsidRPr="002527C7">
        <w:rPr>
          <w:rFonts w:hint="cs"/>
          <w:rtl/>
          <w:lang w:bidi="fa-IR"/>
        </w:rPr>
        <w:t xml:space="preserve"> از این‌رو داوری که در آن اصول بنیادین عدالت تشریفاتی رعایت نشده باشد می‌تواند مغایر با نظم عمومی به‌شمار رود. دادگا‌ه‌ها نیز در بیشتر مواقع مسائل مربوط به دادرسی منصفانه را یک مسئله مرتبط با نظم عمومی محسوب می‌کنند.</w:t>
      </w:r>
      <w:r w:rsidRPr="002527C7">
        <w:rPr>
          <w:vertAlign w:val="superscript"/>
          <w:rtl/>
          <w:lang w:bidi="fa-IR"/>
        </w:rPr>
        <w:footnoteReference w:id="130"/>
      </w:r>
      <w:r w:rsidRPr="002527C7">
        <w:rPr>
          <w:rFonts w:hint="cs"/>
          <w:rtl/>
          <w:lang w:bidi="fa-IR"/>
        </w:rPr>
        <w:t xml:space="preserve"> </w:t>
      </w:r>
    </w:p>
    <w:p w:rsidR="002527C7" w:rsidRPr="002527C7" w:rsidRDefault="002527C7" w:rsidP="004C2DA3">
      <w:pPr>
        <w:bidi/>
        <w:spacing w:before="240"/>
        <w:ind w:firstLine="360"/>
        <w:jc w:val="mediumKashida"/>
        <w:rPr>
          <w:rtl/>
          <w:lang w:bidi="fa-IR"/>
        </w:rPr>
      </w:pPr>
      <w:r w:rsidRPr="002527C7">
        <w:rPr>
          <w:rFonts w:hint="cs"/>
          <w:rtl/>
          <w:lang w:bidi="fa-IR"/>
        </w:rPr>
        <w:t xml:space="preserve">اصول دادرسی منصفانه به دو مرحله تقسیم می‌شود: مرحله‌ی اول، به مسائل و ترتیبات قبل از جلسه رسیدگی مربوط می‌شود؛ این مرحله در قانون داخلی بسیاری از کشورها مورد نظر قرار گرفته است؛ اما در قوانینی که به طور اختصاصی به این موضوع نپرداخته یا اساساً تصریحی به موضوع منصفانه بودن به طور اخص نکرده‌اند، این قبیل اصول نقض شده را تحت زیر مجموعه‌ی عنوان عام «نظم عمومی» </w:t>
      </w:r>
      <w:r w:rsidRPr="002527C7">
        <w:rPr>
          <w:rFonts w:hint="cs"/>
          <w:rtl/>
          <w:lang w:bidi="fa-IR"/>
        </w:rPr>
        <w:lastRenderedPageBreak/>
        <w:t>می‌توانند، مورد خطاب قرار دهند.</w:t>
      </w:r>
      <w:r w:rsidRPr="002527C7">
        <w:rPr>
          <w:vertAlign w:val="superscript"/>
          <w:rtl/>
          <w:lang w:bidi="fa-IR"/>
        </w:rPr>
        <w:footnoteReference w:id="131"/>
      </w:r>
      <w:r w:rsidRPr="002527C7">
        <w:rPr>
          <w:rFonts w:hint="cs"/>
          <w:rtl/>
          <w:lang w:bidi="fa-IR"/>
        </w:rPr>
        <w:t xml:space="preserve"> مرحله‌ی دوم این قسمت به مرحله‌ی جلسات رسیدگی و حقوق طرفین در حین صدور رأی، استدلال و استناد هر رأیی برمی‌گردد؛ لزوم استدلال و استناد در رأی در قوانین برخی کشورها در زمره‌ی ملاحظات نظم عمومی قرار گرفته است.</w:t>
      </w:r>
      <w:r w:rsidRPr="002527C7">
        <w:rPr>
          <w:vertAlign w:val="superscript"/>
          <w:rtl/>
          <w:lang w:bidi="fa-IR"/>
        </w:rPr>
        <w:footnoteReference w:id="132"/>
      </w:r>
    </w:p>
    <w:p w:rsidR="002527C7" w:rsidRPr="002527C7" w:rsidRDefault="002527C7" w:rsidP="004C2DA3">
      <w:pPr>
        <w:bidi/>
        <w:spacing w:before="240"/>
        <w:ind w:firstLine="360"/>
        <w:jc w:val="mediumKashida"/>
        <w:rPr>
          <w:rtl/>
          <w:lang w:bidi="fa-IR"/>
        </w:rPr>
      </w:pPr>
      <w:r w:rsidRPr="002527C7">
        <w:rPr>
          <w:rFonts w:hint="cs"/>
          <w:rtl/>
          <w:lang w:bidi="fa-IR"/>
        </w:rPr>
        <w:t>نظم عمومی شکلی فراتر از صرف اصول عدالت و انصاف است. برخی مصادیق شکلی کاملاً اختصاصی و محلی هستند، اما از لحاظ نظام حقوقی کشور محل اجرا اساسی تلقی می‌شوند. در قوانین کشورها بعضی از شرایط شکلی مربوط به نظم عمومی درج شده است. به طور مثال در قانون آیین دادرسی مدنی ایران، ماده 456، در مورد منع وحدت تابعیت داور با یکی از طرفین، قاعده‌ی شکلی مقرر شده است. قانونگذاز ایران مشابه همین را در ماده 11 قانون داوری تجاری بین‌المللی هم درج کرده است. اما برخی خاطر نشان ساخته‌اند که با این حال، نباید فراموش کرد که دادگاه‌ها با اشاره صریح یا ضمنی در مقام تفسیر تمام مصادیق شکلی مزبور، مفهوم مضیق نظم عمومی را ملاک عمل قرار می‌دهند.</w:t>
      </w:r>
      <w:r w:rsidRPr="002527C7">
        <w:rPr>
          <w:vertAlign w:val="superscript"/>
          <w:rtl/>
          <w:lang w:bidi="fa-IR"/>
        </w:rPr>
        <w:footnoteReference w:id="133"/>
      </w:r>
      <w:r w:rsidRPr="002527C7">
        <w:rPr>
          <w:rFonts w:hint="cs"/>
          <w:rtl/>
          <w:lang w:bidi="fa-IR"/>
        </w:rPr>
        <w:t xml:space="preserve"> </w:t>
      </w:r>
    </w:p>
    <w:p w:rsidR="002527C7" w:rsidRPr="002527C7" w:rsidRDefault="002527C7" w:rsidP="004C2DA3">
      <w:pPr>
        <w:bidi/>
        <w:spacing w:before="240"/>
        <w:ind w:firstLine="360"/>
        <w:jc w:val="mediumKashida"/>
        <w:rPr>
          <w:rtl/>
          <w:lang w:bidi="fa-IR"/>
        </w:rPr>
      </w:pPr>
      <w:r w:rsidRPr="002527C7">
        <w:rPr>
          <w:rFonts w:hint="cs"/>
          <w:rtl/>
          <w:lang w:bidi="fa-IR"/>
        </w:rPr>
        <w:t xml:space="preserve">برخی معتقدند در خصوص نظم عمومی شکلی سه اصل مهم در نظام حقوقی اسلامی وجود دارد: </w:t>
      </w:r>
    </w:p>
    <w:p w:rsidR="002527C7" w:rsidRPr="00021023" w:rsidRDefault="00021023" w:rsidP="004C2DA3">
      <w:pPr>
        <w:bidi/>
        <w:spacing w:before="240"/>
        <w:ind w:firstLine="360"/>
        <w:jc w:val="mediumKashida"/>
        <w:rPr>
          <w:lang w:bidi="fa-IR"/>
        </w:rPr>
      </w:pPr>
      <w:r>
        <w:rPr>
          <w:rFonts w:hint="cs"/>
          <w:rtl/>
          <w:lang w:bidi="fa-IR"/>
        </w:rPr>
        <w:t xml:space="preserve">1- </w:t>
      </w:r>
      <w:r w:rsidR="002527C7" w:rsidRPr="00021023">
        <w:rPr>
          <w:rFonts w:hint="cs"/>
          <w:rtl/>
          <w:lang w:bidi="fa-IR"/>
        </w:rPr>
        <w:t>برابری طرفین داوری در خصوص رفتار یکسان با آن‌ها</w:t>
      </w:r>
      <w:r>
        <w:rPr>
          <w:rFonts w:hint="cs"/>
          <w:rtl/>
          <w:lang w:bidi="fa-IR"/>
        </w:rPr>
        <w:t>.</w:t>
      </w:r>
      <w:r w:rsidR="002527C7" w:rsidRPr="00021023">
        <w:rPr>
          <w:rFonts w:hint="cs"/>
          <w:rtl/>
          <w:lang w:bidi="fa-IR"/>
        </w:rPr>
        <w:t xml:space="preserve"> </w:t>
      </w:r>
    </w:p>
    <w:p w:rsidR="002527C7" w:rsidRPr="002527C7" w:rsidRDefault="00021023" w:rsidP="006C7F74">
      <w:pPr>
        <w:bidi/>
        <w:spacing w:before="240" w:line="276" w:lineRule="auto"/>
        <w:ind w:firstLine="360"/>
        <w:jc w:val="mediumKashida"/>
        <w:rPr>
          <w:lang w:bidi="fa-IR"/>
        </w:rPr>
      </w:pPr>
      <w:r>
        <w:rPr>
          <w:rFonts w:hint="cs"/>
          <w:rtl/>
          <w:lang w:bidi="fa-IR"/>
        </w:rPr>
        <w:t xml:space="preserve">2- </w:t>
      </w:r>
      <w:r w:rsidR="002527C7" w:rsidRPr="002527C7">
        <w:rPr>
          <w:rFonts w:hint="cs"/>
          <w:rtl/>
          <w:lang w:bidi="fa-IR"/>
        </w:rPr>
        <w:t>دادن فرصت دفاع مناسب به هر یک از طرفین جهت ارائه دلایل و ادعاها.</w:t>
      </w:r>
    </w:p>
    <w:p w:rsidR="002527C7" w:rsidRDefault="00021023" w:rsidP="006C7F74">
      <w:pPr>
        <w:bidi/>
        <w:spacing w:before="240" w:line="276" w:lineRule="auto"/>
        <w:ind w:firstLine="360"/>
        <w:jc w:val="mediumKashida"/>
        <w:rPr>
          <w:rtl/>
          <w:lang w:bidi="fa-IR"/>
        </w:rPr>
      </w:pPr>
      <w:r>
        <w:rPr>
          <w:rFonts w:hint="cs"/>
          <w:rtl/>
          <w:lang w:bidi="fa-IR"/>
        </w:rPr>
        <w:lastRenderedPageBreak/>
        <w:t xml:space="preserve">3- </w:t>
      </w:r>
      <w:r w:rsidR="002527C7" w:rsidRPr="002527C7">
        <w:rPr>
          <w:rFonts w:hint="cs"/>
          <w:rtl/>
          <w:lang w:bidi="fa-IR"/>
        </w:rPr>
        <w:t>داور نمی‌تواند یک جانبه و بدون شنیدن دفاعیات طرفین اقدام به صدور رأی نماید.</w:t>
      </w:r>
      <w:r w:rsidR="002527C7" w:rsidRPr="002527C7">
        <w:rPr>
          <w:vertAlign w:val="superscript"/>
          <w:rtl/>
          <w:lang w:bidi="fa-IR"/>
        </w:rPr>
        <w:footnoteReference w:id="134"/>
      </w:r>
      <w:r w:rsidR="002527C7" w:rsidRPr="002527C7">
        <w:rPr>
          <w:lang w:bidi="fa-IR"/>
        </w:rPr>
        <w:t xml:space="preserve"> </w:t>
      </w:r>
    </w:p>
    <w:p w:rsidR="002527C7" w:rsidRPr="002527C7" w:rsidRDefault="002527C7" w:rsidP="004C2DA3">
      <w:pPr>
        <w:bidi/>
        <w:spacing w:before="240"/>
        <w:ind w:firstLine="360"/>
        <w:jc w:val="mediumKashida"/>
        <w:rPr>
          <w:b/>
          <w:bCs/>
          <w:rtl/>
          <w:lang w:bidi="fa-IR"/>
        </w:rPr>
      </w:pPr>
    </w:p>
    <w:p w:rsidR="00413502" w:rsidRDefault="00413502" w:rsidP="000A47F6">
      <w:pPr>
        <w:pStyle w:val="Heading3"/>
      </w:pPr>
      <w:bookmarkStart w:id="17" w:name="_Toc397212644"/>
      <w:r>
        <w:rPr>
          <w:rFonts w:hint="cs"/>
          <w:rtl/>
        </w:rPr>
        <w:t>4</w:t>
      </w:r>
      <w:r w:rsidR="007F30CC">
        <w:rPr>
          <w:rFonts w:hint="cs"/>
          <w:rtl/>
        </w:rPr>
        <w:t xml:space="preserve">-2) </w:t>
      </w:r>
      <w:r w:rsidR="002527C7" w:rsidRPr="007F30CC">
        <w:rPr>
          <w:rFonts w:hint="cs"/>
          <w:rtl/>
        </w:rPr>
        <w:t>نظم عمومی ماهوی</w:t>
      </w:r>
      <w:bookmarkEnd w:id="17"/>
    </w:p>
    <w:p w:rsidR="006C7F74" w:rsidRPr="006C7F74" w:rsidRDefault="006C7F74" w:rsidP="006C7F74">
      <w:pPr>
        <w:rPr>
          <w:rtl/>
          <w:lang w:bidi="fa-IR"/>
        </w:rPr>
      </w:pPr>
    </w:p>
    <w:p w:rsidR="002527C7" w:rsidRPr="002527C7" w:rsidRDefault="002527C7" w:rsidP="004C2DA3">
      <w:pPr>
        <w:bidi/>
        <w:spacing w:before="240"/>
        <w:ind w:firstLine="360"/>
        <w:jc w:val="mediumKashida"/>
        <w:rPr>
          <w:rtl/>
          <w:lang w:bidi="fa-IR"/>
        </w:rPr>
      </w:pPr>
      <w:r w:rsidRPr="002527C7">
        <w:rPr>
          <w:rFonts w:hint="cs"/>
          <w:rtl/>
          <w:lang w:bidi="fa-IR"/>
        </w:rPr>
        <w:t>قواعد ماهوی، دارای مفهومی وسیع است و رد پای آن را در تمام شاخه‌های حقوق در یک نظام حقوقی می‌توان یافت. از میان مبانی امتناع از اجرای رأی، تنها مبنای نظم عمومی، آن هم در بخش مصادیق ماهوی راه را بر دادگاه‌های ملی جهت نظارت ماهوی و کنترل محتویات رأی داوری می‌گشاید.</w:t>
      </w:r>
      <w:r w:rsidRPr="002527C7">
        <w:rPr>
          <w:vertAlign w:val="superscript"/>
          <w:rtl/>
          <w:lang w:bidi="fa-IR"/>
        </w:rPr>
        <w:footnoteReference w:id="135"/>
      </w:r>
      <w:r w:rsidRPr="002527C7">
        <w:rPr>
          <w:rFonts w:hint="cs"/>
          <w:rtl/>
          <w:lang w:bidi="fa-IR"/>
        </w:rPr>
        <w:t xml:space="preserve"> </w:t>
      </w:r>
    </w:p>
    <w:p w:rsidR="002527C7" w:rsidRPr="002527C7" w:rsidRDefault="002527C7" w:rsidP="004C2DA3">
      <w:pPr>
        <w:bidi/>
        <w:spacing w:before="240"/>
        <w:ind w:firstLine="360"/>
        <w:jc w:val="mediumKashida"/>
        <w:rPr>
          <w:rtl/>
          <w:lang w:bidi="fa-IR"/>
        </w:rPr>
      </w:pPr>
      <w:r w:rsidRPr="002527C7">
        <w:rPr>
          <w:rFonts w:hint="cs"/>
          <w:rtl/>
          <w:lang w:bidi="fa-IR"/>
        </w:rPr>
        <w:t>قابل داوری بودن یکی از مهم‌ترین مصادیق ماهوی نظم عمومی در حوزه داوری است. گرچه مسئله قابل داوری بودن دعوی در اغلب اسناد بین‌المللی داوری مانند کنوانسیون ژنو 1927 (بند دو ماده 1) و کنوانسیون نیویورک (قسمت الف بند دو ماده 5) به صورت مستقل از نظم عمومی مطرح گردیده است، ولی تحت مفهوم وسیع نظم عمومی در می‌آید و بخشی از مصادیق ماهوی نظم عمومی یک نظام حقوق ملی را تشکیل می‌دهد.</w:t>
      </w:r>
      <w:r w:rsidRPr="002527C7">
        <w:rPr>
          <w:vertAlign w:val="superscript"/>
          <w:rtl/>
          <w:lang w:bidi="fa-IR"/>
        </w:rPr>
        <w:footnoteReference w:id="136"/>
      </w:r>
      <w:r w:rsidRPr="002527C7">
        <w:rPr>
          <w:rFonts w:hint="cs"/>
          <w:rtl/>
          <w:lang w:bidi="fa-IR"/>
        </w:rPr>
        <w:t xml:space="preserve"> </w:t>
      </w:r>
    </w:p>
    <w:p w:rsidR="002527C7" w:rsidRPr="002527C7" w:rsidRDefault="002527C7" w:rsidP="004C2DA3">
      <w:pPr>
        <w:bidi/>
        <w:spacing w:before="240"/>
        <w:ind w:firstLine="360"/>
        <w:jc w:val="mediumKashida"/>
        <w:rPr>
          <w:rtl/>
          <w:lang w:bidi="fa-IR"/>
        </w:rPr>
      </w:pPr>
      <w:r w:rsidRPr="002527C7">
        <w:rPr>
          <w:rFonts w:hint="cs"/>
          <w:rtl/>
          <w:lang w:bidi="fa-IR"/>
        </w:rPr>
        <w:lastRenderedPageBreak/>
        <w:t>مصادیق نظم عمومی ماهوی از کشوری به کشور دیگر فرق می‌کند؛ اما مواردی است که در اکثریت نظام‌های حقوقی به عنوان خطر بزرگی برای منافع و مصلحت عمومی از آن‌ها یاد می‌شود. از جمله این موارد تروریسم، قاچاق مواد مخدر، پول‌شویی، نسل‌کشی، قواعد مربوط به حمایت از منافع حیاتی دولت یا جامعه بین‌المللی، برخی قوانین تجارت خارجی و واردات و صادرات کالاهای خاص از جمله صدور سلاح یا دانش فنی برتر و همچنین محدودیت‌های ناظر بر تحریم‌های شورای امنیت سازمان ملل متحد است.</w:t>
      </w:r>
      <w:r w:rsidRPr="002527C7">
        <w:rPr>
          <w:vertAlign w:val="superscript"/>
          <w:rtl/>
          <w:lang w:bidi="fa-IR"/>
        </w:rPr>
        <w:footnoteReference w:id="137"/>
      </w:r>
      <w:r w:rsidRPr="002527C7">
        <w:rPr>
          <w:rFonts w:hint="cs"/>
          <w:rtl/>
          <w:lang w:bidi="fa-IR"/>
        </w:rPr>
        <w:t xml:space="preserve"> برخی محدودیت‌های ارزی که بیشتر کشورها برای جلوگیری از اقتصاد ناپایدار به آن پای‌بند هستند نیز در زمره این مصادیق به شمار می‌روند.</w:t>
      </w:r>
      <w:r w:rsidRPr="002527C7">
        <w:rPr>
          <w:vertAlign w:val="superscript"/>
          <w:rtl/>
          <w:lang w:bidi="fa-IR"/>
        </w:rPr>
        <w:footnoteReference w:id="138"/>
      </w:r>
      <w:r w:rsidRPr="002527C7">
        <w:rPr>
          <w:rFonts w:hint="cs"/>
          <w:rtl/>
          <w:lang w:bidi="fa-IR"/>
        </w:rPr>
        <w:t xml:space="preserve"> همچنین در مواردی که ثروت‌های ملی یا سنت‌های ملی مذهبی را خدشه‌دار می‌سازد؛ به قولی باعث جریحه‌دار شدن احساسات عمومی در یک جامعه می‌شود؛ همگی این موارد در تعارض با نظم عمومی عمومی ماهوی محسوب می‌شوند. برخی کشورها حتی نقض حسن نیت را هم در حوزه نظم عمومی ماهوی می‌دانند. و نیز قراردادهایی که در آن‌ها رد و بدل پول‌های مشکوک هم چون رشوه گرفتن، نهفته است یا هر گونه فعالیت اقتصادی که با سیاست‌های بین‌المللی حقوق بشر هم‌سوء نباشد هم در این گستره جا دارد.</w:t>
      </w:r>
      <w:r w:rsidRPr="002527C7">
        <w:rPr>
          <w:vertAlign w:val="superscript"/>
          <w:rtl/>
          <w:lang w:bidi="fa-IR"/>
        </w:rPr>
        <w:footnoteReference w:id="139"/>
      </w:r>
      <w:r w:rsidRPr="002527C7">
        <w:rPr>
          <w:rFonts w:hint="cs"/>
          <w:rtl/>
          <w:lang w:bidi="fa-IR"/>
        </w:rPr>
        <w:t xml:space="preserve"> </w:t>
      </w:r>
    </w:p>
    <w:p w:rsidR="00CA4A85" w:rsidRPr="002527C7" w:rsidRDefault="002527C7" w:rsidP="006C7F74">
      <w:pPr>
        <w:bidi/>
        <w:spacing w:before="240"/>
        <w:ind w:firstLine="360"/>
        <w:jc w:val="mediumKashida"/>
        <w:rPr>
          <w:rtl/>
          <w:lang w:bidi="fa-IR"/>
        </w:rPr>
      </w:pPr>
      <w:r w:rsidRPr="002527C7">
        <w:rPr>
          <w:rFonts w:hint="cs"/>
          <w:rtl/>
          <w:lang w:bidi="fa-IR"/>
        </w:rPr>
        <w:lastRenderedPageBreak/>
        <w:t>در خصوص نظم عمومی ماهوی در نظام حقوقی اسلام، برخی معتقدند که در زمینه داوری‌های بین‌المللی مسائلی چون، معاملات ربوی، قمار، تعهدات غرری و شانسی بیشتر مطرح است.</w:t>
      </w:r>
      <w:r w:rsidRPr="002527C7">
        <w:rPr>
          <w:vertAlign w:val="superscript"/>
          <w:rtl/>
          <w:lang w:bidi="fa-IR"/>
        </w:rPr>
        <w:footnoteReference w:id="140"/>
      </w:r>
    </w:p>
    <w:p w:rsidR="00CA4A85" w:rsidRDefault="00CA4A85" w:rsidP="00963790">
      <w:pPr>
        <w:pStyle w:val="Heading1"/>
        <w:rPr>
          <w:rtl/>
        </w:rPr>
      </w:pPr>
    </w:p>
    <w:p w:rsidR="00CA4A85" w:rsidRDefault="00CA4A85" w:rsidP="00963790">
      <w:pPr>
        <w:pStyle w:val="Heading1"/>
        <w:rPr>
          <w:rtl/>
        </w:rPr>
      </w:pPr>
    </w:p>
    <w:p w:rsidR="00CA4A85" w:rsidRDefault="00CA4A85" w:rsidP="00963790">
      <w:pPr>
        <w:pStyle w:val="Heading1"/>
        <w:bidi w:val="0"/>
      </w:pPr>
    </w:p>
    <w:p w:rsidR="00713804" w:rsidRDefault="00713804" w:rsidP="00713804">
      <w:pPr>
        <w:rPr>
          <w:lang w:bidi="fa-IR"/>
        </w:rPr>
      </w:pPr>
    </w:p>
    <w:p w:rsidR="00713804" w:rsidRPr="00713804" w:rsidRDefault="00713804" w:rsidP="00713804">
      <w:pPr>
        <w:rPr>
          <w:lang w:bidi="fa-IR"/>
        </w:rPr>
      </w:pPr>
    </w:p>
    <w:p w:rsidR="007C6FA1" w:rsidRPr="007C6FA1" w:rsidRDefault="007C6FA1" w:rsidP="007C6FA1">
      <w:pPr>
        <w:rPr>
          <w:lang w:bidi="fa-IR"/>
        </w:rPr>
      </w:pPr>
    </w:p>
    <w:p w:rsidR="00A00741" w:rsidRDefault="00CA4A85" w:rsidP="00963790">
      <w:pPr>
        <w:pStyle w:val="Heading1"/>
        <w:bidi w:val="0"/>
      </w:pPr>
      <w:bookmarkStart w:id="18" w:name="_Toc397212645"/>
      <w:r w:rsidRPr="007C6FA1">
        <w:rPr>
          <w:rFonts w:hint="cs"/>
          <w:rtl/>
        </w:rPr>
        <w:t xml:space="preserve">بخش دوم: </w:t>
      </w:r>
      <w:r w:rsidR="004B3C05" w:rsidRPr="007C6FA1">
        <w:rPr>
          <w:rFonts w:hint="cs"/>
          <w:rtl/>
        </w:rPr>
        <w:t>نظم عمومی در اجرای احکام</w:t>
      </w:r>
      <w:r w:rsidRPr="007C6FA1">
        <w:rPr>
          <w:rFonts w:hint="cs"/>
          <w:rtl/>
        </w:rPr>
        <w:t xml:space="preserve"> داوری</w:t>
      </w:r>
      <w:bookmarkEnd w:id="18"/>
      <w:r w:rsidR="005356A7">
        <w:rPr>
          <w:rFonts w:hint="cs"/>
          <w:rtl/>
        </w:rPr>
        <w:t xml:space="preserve"> تجاری بین‌المللی</w:t>
      </w:r>
    </w:p>
    <w:p w:rsidR="007C6FA1" w:rsidRPr="007C6FA1" w:rsidRDefault="007C6FA1" w:rsidP="007C6FA1">
      <w:pPr>
        <w:rPr>
          <w:lang w:bidi="fa-IR"/>
        </w:rPr>
      </w:pPr>
    </w:p>
    <w:p w:rsidR="00342F09" w:rsidRPr="00A00741" w:rsidRDefault="00342F09" w:rsidP="003F13D7">
      <w:pPr>
        <w:pStyle w:val="ListParagraph"/>
        <w:numPr>
          <w:ilvl w:val="0"/>
          <w:numId w:val="4"/>
        </w:numPr>
        <w:bidi/>
        <w:jc w:val="left"/>
        <w:rPr>
          <w:rFonts w:cs="B Nazanin"/>
          <w:b/>
          <w:bCs/>
          <w:sz w:val="36"/>
          <w:szCs w:val="36"/>
          <w:rtl/>
        </w:rPr>
      </w:pPr>
      <w:r w:rsidRPr="00A00741">
        <w:rPr>
          <w:rFonts w:cs="B Nazanin"/>
          <w:b/>
          <w:bCs/>
          <w:sz w:val="36"/>
          <w:szCs w:val="36"/>
          <w:rtl/>
        </w:rPr>
        <w:t>فصل سوم: نظم عموم</w:t>
      </w:r>
      <w:r w:rsidRPr="00A00741">
        <w:rPr>
          <w:rFonts w:cs="B Nazanin" w:hint="cs"/>
          <w:b/>
          <w:bCs/>
          <w:sz w:val="36"/>
          <w:szCs w:val="36"/>
          <w:rtl/>
        </w:rPr>
        <w:t>ی</w:t>
      </w:r>
      <w:r w:rsidRPr="00A00741">
        <w:rPr>
          <w:rFonts w:cs="B Nazanin"/>
          <w:b/>
          <w:bCs/>
          <w:sz w:val="36"/>
          <w:szCs w:val="36"/>
          <w:rtl/>
        </w:rPr>
        <w:t xml:space="preserve"> مانع اجرا</w:t>
      </w:r>
      <w:r w:rsidRPr="00A00741">
        <w:rPr>
          <w:rFonts w:cs="B Nazanin" w:hint="cs"/>
          <w:b/>
          <w:bCs/>
          <w:sz w:val="36"/>
          <w:szCs w:val="36"/>
          <w:rtl/>
        </w:rPr>
        <w:t>ی</w:t>
      </w:r>
      <w:r w:rsidRPr="00A00741">
        <w:rPr>
          <w:rFonts w:cs="B Nazanin"/>
          <w:b/>
          <w:bCs/>
          <w:sz w:val="36"/>
          <w:szCs w:val="36"/>
          <w:rtl/>
        </w:rPr>
        <w:t xml:space="preserve"> آرا</w:t>
      </w:r>
      <w:r w:rsidRPr="00A00741">
        <w:rPr>
          <w:rFonts w:cs="B Nazanin" w:hint="cs"/>
          <w:b/>
          <w:bCs/>
          <w:sz w:val="36"/>
          <w:szCs w:val="36"/>
          <w:rtl/>
        </w:rPr>
        <w:t>ی</w:t>
      </w:r>
      <w:r w:rsidRPr="00A00741">
        <w:rPr>
          <w:rFonts w:cs="B Nazanin"/>
          <w:b/>
          <w:bCs/>
          <w:sz w:val="36"/>
          <w:szCs w:val="36"/>
          <w:rtl/>
        </w:rPr>
        <w:t xml:space="preserve"> داور</w:t>
      </w:r>
      <w:r w:rsidRPr="00A00741">
        <w:rPr>
          <w:rFonts w:cs="B Nazanin" w:hint="cs"/>
          <w:b/>
          <w:bCs/>
          <w:sz w:val="36"/>
          <w:szCs w:val="36"/>
          <w:rtl/>
        </w:rPr>
        <w:t>ی</w:t>
      </w:r>
      <w:r w:rsidRPr="00A00741">
        <w:rPr>
          <w:rFonts w:cs="B Nazanin"/>
          <w:b/>
          <w:bCs/>
          <w:sz w:val="36"/>
          <w:szCs w:val="36"/>
          <w:rtl/>
        </w:rPr>
        <w:t xml:space="preserve"> تجار</w:t>
      </w:r>
      <w:r w:rsidRPr="00A00741">
        <w:rPr>
          <w:rFonts w:cs="B Nazanin" w:hint="cs"/>
          <w:b/>
          <w:bCs/>
          <w:sz w:val="36"/>
          <w:szCs w:val="36"/>
          <w:rtl/>
        </w:rPr>
        <w:t>ی</w:t>
      </w:r>
      <w:r w:rsidRPr="00A00741">
        <w:rPr>
          <w:rFonts w:cs="B Nazanin"/>
          <w:b/>
          <w:bCs/>
          <w:sz w:val="36"/>
          <w:szCs w:val="36"/>
          <w:rtl/>
        </w:rPr>
        <w:t xml:space="preserve"> ب</w:t>
      </w:r>
      <w:r w:rsidRPr="00A00741">
        <w:rPr>
          <w:rFonts w:cs="B Nazanin" w:hint="cs"/>
          <w:b/>
          <w:bCs/>
          <w:sz w:val="36"/>
          <w:szCs w:val="36"/>
          <w:rtl/>
        </w:rPr>
        <w:t>ی</w:t>
      </w:r>
      <w:r w:rsidRPr="00A00741">
        <w:rPr>
          <w:rFonts w:cs="B Nazanin" w:hint="eastAsia"/>
          <w:b/>
          <w:bCs/>
          <w:sz w:val="36"/>
          <w:szCs w:val="36"/>
          <w:rtl/>
        </w:rPr>
        <w:t>ن‌الملل</w:t>
      </w:r>
      <w:r w:rsidRPr="00A00741">
        <w:rPr>
          <w:rFonts w:cs="B Nazanin" w:hint="cs"/>
          <w:b/>
          <w:bCs/>
          <w:sz w:val="36"/>
          <w:szCs w:val="36"/>
          <w:rtl/>
        </w:rPr>
        <w:t>ی</w:t>
      </w:r>
    </w:p>
    <w:p w:rsidR="00CA4A85" w:rsidRDefault="00CA4A85" w:rsidP="00963790">
      <w:pPr>
        <w:pStyle w:val="Heading1"/>
        <w:rPr>
          <w:rtl/>
        </w:rPr>
      </w:pPr>
    </w:p>
    <w:p w:rsidR="00CA4A85" w:rsidRDefault="00CA4A85" w:rsidP="00963790">
      <w:pPr>
        <w:pStyle w:val="Heading1"/>
        <w:rPr>
          <w:rtl/>
        </w:rPr>
      </w:pPr>
    </w:p>
    <w:p w:rsidR="00342F09" w:rsidRDefault="00342F09" w:rsidP="00963790">
      <w:pPr>
        <w:pStyle w:val="Heading1"/>
      </w:pPr>
    </w:p>
    <w:p w:rsidR="009B4D8D" w:rsidRPr="009B4D8D" w:rsidRDefault="009B4D8D" w:rsidP="009B4D8D">
      <w:pPr>
        <w:rPr>
          <w:lang w:bidi="fa-IR"/>
        </w:rPr>
      </w:pPr>
    </w:p>
    <w:p w:rsidR="00713804" w:rsidRPr="00713804" w:rsidRDefault="00713804" w:rsidP="00713804">
      <w:pPr>
        <w:rPr>
          <w:lang w:bidi="fa-IR"/>
        </w:rPr>
      </w:pPr>
    </w:p>
    <w:p w:rsidR="003602AD" w:rsidRDefault="004B3C05" w:rsidP="00963790">
      <w:pPr>
        <w:pStyle w:val="Heading1"/>
      </w:pPr>
      <w:bookmarkStart w:id="19" w:name="_Toc397212646"/>
      <w:r w:rsidRPr="004B3C05">
        <w:rPr>
          <w:rFonts w:hint="cs"/>
          <w:rtl/>
        </w:rPr>
        <w:t>فصل سوم</w:t>
      </w:r>
      <w:r w:rsidR="003602AD" w:rsidRPr="004B3C05">
        <w:rPr>
          <w:rFonts w:hint="cs"/>
          <w:rtl/>
        </w:rPr>
        <w:t>: نظم عمومی مانع اجرای آرای داوری تجاری بین‌المللی</w:t>
      </w:r>
      <w:bookmarkEnd w:id="19"/>
    </w:p>
    <w:p w:rsidR="00342F09" w:rsidRPr="00342F09" w:rsidRDefault="00342F09" w:rsidP="00342F09">
      <w:pPr>
        <w:rPr>
          <w:rtl/>
          <w:lang w:bidi="fa-IR"/>
        </w:rPr>
      </w:pPr>
    </w:p>
    <w:p w:rsidR="003602AD" w:rsidRPr="0083354B" w:rsidRDefault="003602AD" w:rsidP="004C2DA3">
      <w:pPr>
        <w:bidi/>
        <w:ind w:firstLine="360"/>
        <w:jc w:val="mediumKashida"/>
        <w:rPr>
          <w:lang w:bidi="fa-IR"/>
        </w:rPr>
      </w:pPr>
      <w:r w:rsidRPr="0083354B">
        <w:rPr>
          <w:rFonts w:hint="cs"/>
          <w:rtl/>
          <w:lang w:bidi="fa-IR"/>
        </w:rPr>
        <w:t>معیار نظم عمومی به عنو</w:t>
      </w:r>
      <w:r>
        <w:rPr>
          <w:rFonts w:hint="cs"/>
          <w:rtl/>
          <w:lang w:bidi="fa-IR"/>
        </w:rPr>
        <w:t>ان مانع اجرای رأی داوری، به نوعی مؤید</w:t>
      </w:r>
      <w:r w:rsidRPr="0083354B">
        <w:rPr>
          <w:rFonts w:hint="cs"/>
          <w:rtl/>
          <w:lang w:bidi="fa-IR"/>
        </w:rPr>
        <w:t xml:space="preserve"> ح</w:t>
      </w:r>
      <w:r>
        <w:rPr>
          <w:rFonts w:hint="cs"/>
          <w:rtl/>
          <w:lang w:bidi="fa-IR"/>
        </w:rPr>
        <w:t xml:space="preserve">ق دادگاه‌های کشور محل اجرا در </w:t>
      </w:r>
      <w:r w:rsidRPr="0083354B">
        <w:rPr>
          <w:rFonts w:hint="cs"/>
          <w:rtl/>
          <w:lang w:bidi="fa-IR"/>
        </w:rPr>
        <w:t>اعمال کنترل نهایی بر روند داوری است.</w:t>
      </w:r>
      <w:r>
        <w:rPr>
          <w:rFonts w:hint="cs"/>
          <w:rtl/>
          <w:lang w:bidi="fa-IR"/>
        </w:rPr>
        <w:t xml:space="preserve"> در این میان</w:t>
      </w:r>
      <w:r w:rsidRPr="0083354B">
        <w:rPr>
          <w:rFonts w:hint="cs"/>
          <w:rtl/>
          <w:lang w:bidi="fa-IR"/>
        </w:rPr>
        <w:t xml:space="preserve"> از یک سو تمایلی برای معطوف ساختن حاکمیت کشور نسبت به اجرای آرایی که منجر به نقض ارزش‌ها و قوانین داخلی می‌شوند، وجود ندارد. </w:t>
      </w:r>
      <w:r>
        <w:rPr>
          <w:rFonts w:hint="cs"/>
          <w:rtl/>
          <w:lang w:bidi="fa-IR"/>
        </w:rPr>
        <w:t>از سو</w:t>
      </w:r>
      <w:r w:rsidRPr="0083354B">
        <w:rPr>
          <w:rFonts w:hint="cs"/>
          <w:rtl/>
          <w:lang w:bidi="fa-IR"/>
        </w:rPr>
        <w:t xml:space="preserve">ی دیگر تمایل به احترام نسبت </w:t>
      </w:r>
      <w:r>
        <w:rPr>
          <w:rFonts w:hint="cs"/>
          <w:rtl/>
          <w:lang w:bidi="fa-IR"/>
        </w:rPr>
        <w:t>به قطعیت آرای خارجی قرار</w:t>
      </w:r>
      <w:r w:rsidRPr="0083354B">
        <w:rPr>
          <w:rFonts w:hint="cs"/>
          <w:rtl/>
          <w:lang w:bidi="fa-IR"/>
        </w:rPr>
        <w:t xml:space="preserve"> دارد. از این رو قانون‌گذار و دادگاه باید به هر طریق </w:t>
      </w:r>
      <w:r>
        <w:rPr>
          <w:rFonts w:hint="cs"/>
          <w:rtl/>
          <w:lang w:bidi="fa-IR"/>
        </w:rPr>
        <w:t xml:space="preserve">تعارض </w:t>
      </w:r>
      <w:r w:rsidRPr="0083354B">
        <w:rPr>
          <w:rFonts w:hint="cs"/>
          <w:rtl/>
          <w:lang w:bidi="fa-IR"/>
        </w:rPr>
        <w:t xml:space="preserve">موجود </w:t>
      </w:r>
      <w:r>
        <w:rPr>
          <w:rFonts w:hint="cs"/>
          <w:rtl/>
          <w:lang w:bidi="fa-IR"/>
        </w:rPr>
        <w:t>را حل نمایند</w:t>
      </w:r>
      <w:r w:rsidRPr="0083354B">
        <w:rPr>
          <w:rFonts w:hint="cs"/>
          <w:rtl/>
          <w:lang w:bidi="fa-IR"/>
        </w:rPr>
        <w:t xml:space="preserve">. </w:t>
      </w:r>
      <w:r>
        <w:rPr>
          <w:rFonts w:hint="cs"/>
          <w:rtl/>
          <w:lang w:bidi="fa-IR"/>
        </w:rPr>
        <w:t>در راستای رفع</w:t>
      </w:r>
      <w:r w:rsidRPr="0083354B">
        <w:rPr>
          <w:rFonts w:hint="cs"/>
          <w:rtl/>
          <w:lang w:bidi="fa-IR"/>
        </w:rPr>
        <w:t xml:space="preserve"> این دوگانگی، برخی از قانون‌گذاران و دادگاه‌ها بر آن شده‌اند که مفهوم مضیق نظم عمومی را </w:t>
      </w:r>
      <w:r>
        <w:rPr>
          <w:rFonts w:hint="cs"/>
          <w:rtl/>
          <w:lang w:bidi="fa-IR"/>
        </w:rPr>
        <w:t>نسبت به آرای خارجی اعمال کنند.</w:t>
      </w:r>
      <w:r w:rsidRPr="0083354B">
        <w:rPr>
          <w:rFonts w:hint="cs"/>
          <w:rtl/>
          <w:lang w:bidi="fa-IR"/>
        </w:rPr>
        <w:t xml:space="preserve"> مفهوم مضیق</w:t>
      </w:r>
      <w:r>
        <w:rPr>
          <w:rFonts w:hint="cs"/>
          <w:rtl/>
          <w:lang w:bidi="fa-IR"/>
        </w:rPr>
        <w:t xml:space="preserve"> نظم عمومی</w:t>
      </w:r>
      <w:r w:rsidRPr="0083354B">
        <w:rPr>
          <w:rFonts w:hint="cs"/>
          <w:rtl/>
          <w:lang w:bidi="fa-IR"/>
        </w:rPr>
        <w:t xml:space="preserve"> غالباً تحت عنوان نظم عمومی بین‌المللی به کار می‌رود. شایان ذکر است که</w:t>
      </w:r>
      <w:r>
        <w:rPr>
          <w:rFonts w:hint="cs"/>
          <w:rtl/>
          <w:lang w:bidi="fa-IR"/>
        </w:rPr>
        <w:t xml:space="preserve"> بر سر محتوا و کاربرد آن در رویه عملی</w:t>
      </w:r>
      <w:r w:rsidRPr="0083354B">
        <w:rPr>
          <w:rFonts w:hint="cs"/>
          <w:rtl/>
          <w:lang w:bidi="fa-IR"/>
        </w:rPr>
        <w:t xml:space="preserve"> برای کشورها</w:t>
      </w:r>
      <w:r>
        <w:rPr>
          <w:rFonts w:hint="cs"/>
          <w:rtl/>
          <w:lang w:bidi="fa-IR"/>
        </w:rPr>
        <w:t xml:space="preserve"> هنوز ابهاماتی موجود می‌باشد و قطعیتی حاصل نگردیده است.</w:t>
      </w:r>
    </w:p>
    <w:p w:rsidR="003602AD" w:rsidRPr="00A63C93" w:rsidRDefault="003602AD" w:rsidP="004C2DA3">
      <w:pPr>
        <w:bidi/>
        <w:ind w:firstLine="360"/>
        <w:jc w:val="mediumKashida"/>
        <w:rPr>
          <w:sz w:val="32"/>
          <w:szCs w:val="32"/>
          <w:lang w:bidi="fa-IR"/>
        </w:rPr>
      </w:pPr>
    </w:p>
    <w:p w:rsidR="003602AD" w:rsidRDefault="003602AD" w:rsidP="004C2DA3">
      <w:pPr>
        <w:pStyle w:val="Heading2"/>
        <w:bidi/>
        <w:ind w:firstLine="360"/>
        <w:jc w:val="center"/>
      </w:pPr>
      <w:bookmarkStart w:id="20" w:name="_Toc397212647"/>
      <w:r w:rsidRPr="00ED6A2B">
        <w:rPr>
          <w:rFonts w:hint="cs"/>
          <w:rtl/>
        </w:rPr>
        <w:lastRenderedPageBreak/>
        <w:t>گفتار اول:</w:t>
      </w:r>
      <w:r>
        <w:rPr>
          <w:rFonts w:hint="cs"/>
          <w:rtl/>
        </w:rPr>
        <w:t xml:space="preserve"> به دنبال</w:t>
      </w:r>
      <w:r w:rsidRPr="00ED6A2B">
        <w:rPr>
          <w:rFonts w:hint="cs"/>
          <w:rtl/>
        </w:rPr>
        <w:t xml:space="preserve"> تعریف</w:t>
      </w:r>
      <w:r>
        <w:rPr>
          <w:rFonts w:hint="cs"/>
          <w:rtl/>
        </w:rPr>
        <w:t>ی از</w:t>
      </w:r>
      <w:r w:rsidRPr="00ED6A2B">
        <w:rPr>
          <w:rFonts w:hint="cs"/>
          <w:rtl/>
        </w:rPr>
        <w:t xml:space="preserve"> نظم عمومی به عنوان مانع اجرای رأی داوری تجاری بین‌المللی</w:t>
      </w:r>
      <w:bookmarkEnd w:id="20"/>
    </w:p>
    <w:p w:rsidR="00342F09" w:rsidRPr="00342F09" w:rsidRDefault="00342F09" w:rsidP="00342F09">
      <w:pPr>
        <w:bidi/>
        <w:rPr>
          <w:rtl/>
        </w:rPr>
      </w:pPr>
    </w:p>
    <w:p w:rsidR="003602AD" w:rsidRDefault="003602AD" w:rsidP="004C2DA3">
      <w:pPr>
        <w:bidi/>
        <w:ind w:firstLine="360"/>
        <w:jc w:val="mediumKashida"/>
        <w:rPr>
          <w:sz w:val="32"/>
          <w:szCs w:val="32"/>
          <w:rtl/>
          <w:lang w:bidi="fa-IR"/>
        </w:rPr>
      </w:pPr>
      <w:r w:rsidRPr="00F75AAB">
        <w:rPr>
          <w:rFonts w:hint="cs"/>
          <w:rtl/>
          <w:lang w:bidi="fa-IR"/>
        </w:rPr>
        <w:t>ارائه تعریف دقیقی از نظم عمومی در زمینه اجرای آرای داوری بسیار دشوار است. اما تعاریف ارائه شده در طی سا‌ل‌های متمادی تغییر قابل</w:t>
      </w:r>
      <w:r w:rsidRPr="00A63C93">
        <w:rPr>
          <w:rFonts w:hint="cs"/>
          <w:sz w:val="32"/>
          <w:szCs w:val="32"/>
          <w:rtl/>
          <w:lang w:bidi="fa-IR"/>
        </w:rPr>
        <w:t xml:space="preserve"> </w:t>
      </w:r>
      <w:r w:rsidRPr="00F75AAB">
        <w:rPr>
          <w:rFonts w:hint="cs"/>
          <w:rtl/>
          <w:lang w:bidi="fa-IR"/>
        </w:rPr>
        <w:t>توجهی نکرده‌اند. با توجه به ذکر تعاریف گوناگون نظم عمومی در قسمت کلیات در ذیل این عنوان فقط به بررسی کاربردی مفاهیم مورد استفاده نظم عمومی به عنوان مانع اجرای رأی پرداخته می‌شود.</w:t>
      </w:r>
    </w:p>
    <w:p w:rsidR="003602AD" w:rsidRPr="00A63C93" w:rsidRDefault="003602AD" w:rsidP="004C2DA3">
      <w:pPr>
        <w:bidi/>
        <w:ind w:firstLine="360"/>
        <w:jc w:val="mediumKashida"/>
        <w:rPr>
          <w:sz w:val="32"/>
          <w:szCs w:val="32"/>
          <w:rtl/>
          <w:lang w:bidi="fa-IR"/>
        </w:rPr>
      </w:pPr>
    </w:p>
    <w:p w:rsidR="00BE0B2D" w:rsidRDefault="000A47F6" w:rsidP="003F13D7">
      <w:pPr>
        <w:pStyle w:val="Heading3"/>
        <w:numPr>
          <w:ilvl w:val="1"/>
          <w:numId w:val="2"/>
        </w:numPr>
        <w:rPr>
          <w:rtl/>
        </w:rPr>
      </w:pPr>
      <w:bookmarkStart w:id="21" w:name="_Toc397212648"/>
      <w:r>
        <w:rPr>
          <w:rFonts w:hint="cs"/>
          <w:rtl/>
        </w:rPr>
        <w:t>نقض مفاهیم اساسی اخلاق و عدالت</w:t>
      </w:r>
      <w:bookmarkEnd w:id="21"/>
    </w:p>
    <w:p w:rsidR="00E1687C" w:rsidRPr="00E1687C" w:rsidRDefault="00E1687C" w:rsidP="00E1687C">
      <w:pPr>
        <w:bidi/>
        <w:rPr>
          <w:rtl/>
          <w:lang w:bidi="fa-IR"/>
        </w:rPr>
      </w:pPr>
    </w:p>
    <w:p w:rsidR="003602AD" w:rsidRPr="002E4ECE" w:rsidRDefault="003602AD" w:rsidP="004C2DA3">
      <w:pPr>
        <w:bidi/>
        <w:ind w:firstLine="360"/>
        <w:jc w:val="mediumKashida"/>
        <w:rPr>
          <w:rtl/>
          <w:lang w:bidi="fa-IR"/>
        </w:rPr>
      </w:pPr>
      <w:r w:rsidRPr="002E4ECE">
        <w:rPr>
          <w:rFonts w:hint="cs"/>
          <w:rtl/>
          <w:lang w:bidi="fa-IR"/>
        </w:rPr>
        <w:t>مجلس لردهای ‌انگلستان در سال 1853 نظم عمومی را این‌گونه توصیف کرد: "اصل قانونی که مقرر می‌دارد؛ هیچ موضوعی نمی‌تواند به صورت قانونی منجر به آسیب رساندن به اجتماع یا خیر عمومی گردد".</w:t>
      </w:r>
      <w:r w:rsidRPr="002E4ECE">
        <w:rPr>
          <w:rStyle w:val="FootnoteReference"/>
          <w:rtl/>
          <w:lang w:bidi="fa-IR"/>
        </w:rPr>
        <w:footnoteReference w:id="141"/>
      </w:r>
      <w:r w:rsidRPr="002E4ECE">
        <w:rPr>
          <w:rFonts w:hint="cs"/>
          <w:rtl/>
          <w:lang w:bidi="fa-IR"/>
        </w:rPr>
        <w:t xml:space="preserve"> دادگاه استیناف انگلستان در مورد نظم عمومی مربوط به اجرای رأی داوری در پرونده دی اس تی برابر راکولی</w:t>
      </w:r>
      <w:r w:rsidRPr="002E4ECE">
        <w:rPr>
          <w:rtl/>
          <w:lang w:bidi="fa-IR"/>
        </w:rPr>
        <w:t xml:space="preserve"> </w:t>
      </w:r>
      <w:r w:rsidRPr="002E4ECE">
        <w:rPr>
          <w:rFonts w:hint="cs"/>
          <w:rtl/>
          <w:lang w:bidi="fa-IR"/>
        </w:rPr>
        <w:t>در سال 1987 این گونه اظهار نظر کرد:</w:t>
      </w:r>
    </w:p>
    <w:p w:rsidR="003602AD" w:rsidRPr="002E4ECE" w:rsidRDefault="003602AD" w:rsidP="004C2DA3">
      <w:pPr>
        <w:bidi/>
        <w:ind w:firstLine="360"/>
        <w:jc w:val="mediumKashida"/>
        <w:rPr>
          <w:sz w:val="24"/>
          <w:szCs w:val="24"/>
          <w:rtl/>
          <w:lang w:bidi="fa-IR"/>
        </w:rPr>
      </w:pPr>
      <w:r>
        <w:rPr>
          <w:rFonts w:cs="Times New Roman" w:hint="cs"/>
          <w:sz w:val="24"/>
          <w:szCs w:val="24"/>
          <w:rtl/>
          <w:lang w:bidi="fa-IR"/>
        </w:rPr>
        <w:t>"</w:t>
      </w:r>
      <w:r w:rsidRPr="002E4ECE">
        <w:rPr>
          <w:rFonts w:hint="cs"/>
          <w:sz w:val="24"/>
          <w:szCs w:val="24"/>
          <w:rtl/>
          <w:lang w:bidi="fa-IR"/>
        </w:rPr>
        <w:t xml:space="preserve">ملاحظات نظم عمومی را هرگز نمی‌توان به صورت جامع و کامل تعریف کرد، اما با این ملاحظات بایستی بسیار با احتیاط مواجه شد. چرا که برای اعمال نظم عمومی باید وجود عناصر غیر قانونی به اثبات برسد، یا این‌که اجرای رأی به روشنی به مصالح و منافع عمومی آسیب برساند، </w:t>
      </w:r>
      <w:r w:rsidRPr="002E4ECE">
        <w:rPr>
          <w:rFonts w:hint="cs"/>
          <w:sz w:val="24"/>
          <w:szCs w:val="24"/>
          <w:rtl/>
          <w:lang w:bidi="fa-IR"/>
        </w:rPr>
        <w:lastRenderedPageBreak/>
        <w:t>و یا احتمال برود که اجرای رأی نسبت به چارچوب معین و کاملاً آگاهانه جامعه که از جانب قوای حکومتی تعیین می‌شود، توهین‌آمیز باشد</w:t>
      </w:r>
      <w:r>
        <w:rPr>
          <w:rFonts w:hint="cs"/>
          <w:sz w:val="24"/>
          <w:szCs w:val="24"/>
          <w:rtl/>
          <w:lang w:bidi="fa-IR"/>
        </w:rPr>
        <w:t>".</w:t>
      </w:r>
      <w:r>
        <w:rPr>
          <w:rStyle w:val="FootnoteReference"/>
          <w:sz w:val="24"/>
          <w:szCs w:val="24"/>
          <w:rtl/>
          <w:lang w:bidi="fa-IR"/>
        </w:rPr>
        <w:footnoteReference w:id="142"/>
      </w:r>
    </w:p>
    <w:p w:rsidR="003602AD" w:rsidRPr="00A63C93" w:rsidRDefault="003602AD" w:rsidP="004C2DA3">
      <w:pPr>
        <w:bidi/>
        <w:ind w:firstLine="360"/>
        <w:jc w:val="mediumKashida"/>
        <w:rPr>
          <w:sz w:val="32"/>
          <w:szCs w:val="32"/>
          <w:rtl/>
          <w:lang w:bidi="fa-IR"/>
        </w:rPr>
      </w:pPr>
      <w:r w:rsidRPr="00F75AAB">
        <w:rPr>
          <w:rFonts w:hint="cs"/>
          <w:rtl/>
          <w:lang w:bidi="fa-IR"/>
        </w:rPr>
        <w:t>ژوزف اسمیت</w:t>
      </w:r>
      <w:r w:rsidRPr="00F75AAB">
        <w:rPr>
          <w:rStyle w:val="FootnoteReference"/>
          <w:rtl/>
          <w:lang w:bidi="fa-IR"/>
        </w:rPr>
        <w:footnoteReference w:id="143"/>
      </w:r>
      <w:r w:rsidRPr="00F75AAB">
        <w:rPr>
          <w:rFonts w:hint="cs"/>
          <w:rtl/>
          <w:lang w:bidi="fa-IR"/>
        </w:rPr>
        <w:t xml:space="preserve"> </w:t>
      </w:r>
      <w:r>
        <w:rPr>
          <w:rFonts w:hint="cs"/>
          <w:rtl/>
          <w:lang w:bidi="fa-IR"/>
        </w:rPr>
        <w:t xml:space="preserve">قاضی </w:t>
      </w:r>
      <w:r w:rsidRPr="00F75AAB">
        <w:rPr>
          <w:rFonts w:hint="cs"/>
          <w:rtl/>
          <w:lang w:bidi="fa-IR"/>
        </w:rPr>
        <w:t>دادگاه استیناف ایالات متحده آمریکا در سال 1974 در پرونده مشهور پارسونز و وایت مور</w:t>
      </w:r>
      <w:r>
        <w:rPr>
          <w:rFonts w:hint="cs"/>
          <w:rtl/>
          <w:lang w:bidi="fa-IR"/>
        </w:rPr>
        <w:t>، مقرر داشت</w:t>
      </w:r>
      <w:r w:rsidRPr="00F75AAB">
        <w:rPr>
          <w:rFonts w:hint="cs"/>
          <w:rtl/>
          <w:lang w:bidi="fa-IR"/>
        </w:rPr>
        <w:t xml:space="preserve"> که</w:t>
      </w:r>
      <w:r>
        <w:rPr>
          <w:rFonts w:hint="cs"/>
          <w:rtl/>
          <w:lang w:bidi="fa-IR"/>
        </w:rPr>
        <w:t xml:space="preserve"> از</w:t>
      </w:r>
      <w:r w:rsidRPr="00F75AAB">
        <w:rPr>
          <w:rFonts w:hint="cs"/>
          <w:rtl/>
          <w:lang w:bidi="fa-IR"/>
        </w:rPr>
        <w:t xml:space="preserve"> اجرای رأی داوری خارجی ممکن </w:t>
      </w:r>
      <w:r>
        <w:rPr>
          <w:rFonts w:hint="cs"/>
          <w:rtl/>
          <w:lang w:bidi="fa-IR"/>
        </w:rPr>
        <w:t xml:space="preserve">است </w:t>
      </w:r>
      <w:r w:rsidRPr="00F75AAB">
        <w:rPr>
          <w:rFonts w:hint="cs"/>
          <w:rtl/>
          <w:lang w:bidi="fa-IR"/>
        </w:rPr>
        <w:t>به موجب نظم عمومی</w:t>
      </w:r>
      <w:r>
        <w:rPr>
          <w:rFonts w:hint="cs"/>
          <w:rtl/>
          <w:lang w:bidi="fa-IR"/>
        </w:rPr>
        <w:t xml:space="preserve"> ممانعت گردد</w:t>
      </w:r>
      <w:r w:rsidRPr="00F75AAB">
        <w:rPr>
          <w:rFonts w:hint="cs"/>
          <w:rtl/>
          <w:lang w:bidi="fa-IR"/>
        </w:rPr>
        <w:t>، "</w:t>
      </w:r>
      <w:r>
        <w:rPr>
          <w:rFonts w:hint="cs"/>
          <w:rtl/>
          <w:lang w:bidi="fa-IR"/>
        </w:rPr>
        <w:t>فقط در صورتی</w:t>
      </w:r>
      <w:r w:rsidRPr="00F75AAB">
        <w:rPr>
          <w:rFonts w:hint="cs"/>
          <w:rtl/>
          <w:lang w:bidi="fa-IR"/>
        </w:rPr>
        <w:t xml:space="preserve"> که اجرا</w:t>
      </w:r>
      <w:r>
        <w:rPr>
          <w:rFonts w:hint="cs"/>
          <w:rtl/>
          <w:lang w:bidi="fa-IR"/>
        </w:rPr>
        <w:t>ی رأی</w:t>
      </w:r>
      <w:r w:rsidRPr="00F75AAB">
        <w:rPr>
          <w:rFonts w:hint="cs"/>
          <w:rtl/>
          <w:lang w:bidi="fa-IR"/>
        </w:rPr>
        <w:t xml:space="preserve"> مفاهیم</w:t>
      </w:r>
      <w:r w:rsidRPr="00A63C93">
        <w:rPr>
          <w:rFonts w:hint="cs"/>
          <w:sz w:val="32"/>
          <w:szCs w:val="32"/>
          <w:rtl/>
          <w:lang w:bidi="fa-IR"/>
        </w:rPr>
        <w:t xml:space="preserve"> </w:t>
      </w:r>
      <w:r w:rsidRPr="00F75AAB">
        <w:rPr>
          <w:rFonts w:hint="cs"/>
          <w:rtl/>
          <w:lang w:bidi="fa-IR"/>
        </w:rPr>
        <w:t>اساسی اخلاق و عدالت کشور</w:t>
      </w:r>
      <w:r>
        <w:rPr>
          <w:rFonts w:hint="cs"/>
          <w:rtl/>
          <w:lang w:bidi="fa-IR"/>
        </w:rPr>
        <w:t>ی که از</w:t>
      </w:r>
      <w:r w:rsidRPr="00F75AAB">
        <w:rPr>
          <w:rFonts w:hint="cs"/>
          <w:rtl/>
          <w:lang w:bidi="fa-IR"/>
        </w:rPr>
        <w:t xml:space="preserve"> دادگاه </w:t>
      </w:r>
      <w:r>
        <w:rPr>
          <w:rFonts w:hint="cs"/>
          <w:rtl/>
          <w:lang w:bidi="fa-IR"/>
        </w:rPr>
        <w:t xml:space="preserve">آن تقاضای </w:t>
      </w:r>
      <w:r w:rsidRPr="00F75AAB">
        <w:rPr>
          <w:rFonts w:hint="cs"/>
          <w:rtl/>
          <w:lang w:bidi="fa-IR"/>
        </w:rPr>
        <w:t>اجرا</w:t>
      </w:r>
      <w:r w:rsidR="005356A7">
        <w:rPr>
          <w:rFonts w:hint="cs"/>
          <w:rtl/>
          <w:lang w:bidi="fa-IR"/>
        </w:rPr>
        <w:t xml:space="preserve"> شده</w:t>
      </w:r>
      <w:r w:rsidRPr="00F75AAB">
        <w:rPr>
          <w:rFonts w:hint="cs"/>
          <w:rtl/>
          <w:lang w:bidi="fa-IR"/>
        </w:rPr>
        <w:t xml:space="preserve"> را نقض </w:t>
      </w:r>
      <w:r>
        <w:rPr>
          <w:rFonts w:hint="cs"/>
          <w:rtl/>
          <w:lang w:bidi="fa-IR"/>
        </w:rPr>
        <w:t>کند".</w:t>
      </w:r>
      <w:r>
        <w:rPr>
          <w:rStyle w:val="FootnoteReference"/>
          <w:rtl/>
          <w:lang w:bidi="fa-IR"/>
        </w:rPr>
        <w:footnoteReference w:id="144"/>
      </w:r>
    </w:p>
    <w:p w:rsidR="003602AD" w:rsidRPr="00CF7CE9" w:rsidRDefault="003602AD" w:rsidP="004C2DA3">
      <w:pPr>
        <w:bidi/>
        <w:ind w:firstLine="360"/>
        <w:jc w:val="mediumKashida"/>
        <w:rPr>
          <w:rtl/>
          <w:lang w:bidi="fa-IR"/>
        </w:rPr>
      </w:pPr>
      <w:r w:rsidRPr="00CF7CE9">
        <w:rPr>
          <w:rFonts w:hint="cs"/>
          <w:rtl/>
          <w:lang w:bidi="fa-IR"/>
        </w:rPr>
        <w:t>دکتر الاحدب حقوقدان نامدار مسلمان بیان می‌دارد که در نظام حقوقی اسلامی "مفهوم نظم عمومی بر پایه روح کلی شریعت و منابع آن (شامل قرآن و سنت و غیره) و همچنین اصل وفای به عهد، بنا شده است".</w:t>
      </w:r>
      <w:r w:rsidRPr="00CF7CE9">
        <w:rPr>
          <w:vertAlign w:val="superscript"/>
          <w:rtl/>
          <w:lang w:bidi="fa-IR"/>
        </w:rPr>
        <w:footnoteReference w:id="145"/>
      </w:r>
    </w:p>
    <w:p w:rsidR="003602AD" w:rsidRDefault="003602AD" w:rsidP="004C2DA3">
      <w:pPr>
        <w:bidi/>
        <w:ind w:firstLine="360"/>
        <w:jc w:val="mediumKashida"/>
        <w:rPr>
          <w:lang w:bidi="fa-IR"/>
        </w:rPr>
      </w:pPr>
      <w:r w:rsidRPr="00CF7CE9">
        <w:rPr>
          <w:rFonts w:hint="cs"/>
          <w:rtl/>
          <w:lang w:bidi="fa-IR"/>
        </w:rPr>
        <w:t xml:space="preserve">مفهوم نظم عمومی مطروحه در این زمینه منعکس کننده معیارهای اساسی اقتصادی، حقوقی ، اخلاقی، سیاسی، مذهبی و اجتماعی هر کشور یا جامعه فرا ملی است. </w:t>
      </w:r>
    </w:p>
    <w:p w:rsidR="003602AD" w:rsidRPr="00CF7CE9" w:rsidRDefault="003602AD" w:rsidP="004C2DA3">
      <w:pPr>
        <w:bidi/>
        <w:ind w:firstLine="360"/>
        <w:jc w:val="mediumKashida"/>
        <w:rPr>
          <w:rtl/>
          <w:lang w:bidi="fa-IR"/>
        </w:rPr>
      </w:pPr>
    </w:p>
    <w:p w:rsidR="002C203A" w:rsidRDefault="003602AD" w:rsidP="000A47F6">
      <w:pPr>
        <w:pStyle w:val="Heading3"/>
        <w:rPr>
          <w:rtl/>
        </w:rPr>
      </w:pPr>
      <w:bookmarkStart w:id="22" w:name="_Toc397212649"/>
      <w:r>
        <w:rPr>
          <w:rFonts w:hint="cs"/>
          <w:rtl/>
        </w:rPr>
        <w:t xml:space="preserve">1-2) </w:t>
      </w:r>
      <w:r w:rsidRPr="00ED6A2B">
        <w:rPr>
          <w:rFonts w:hint="cs"/>
          <w:rtl/>
        </w:rPr>
        <w:t>کاربرد مفهوم نظم عمومی بین‌المللی در زمینه امتناع از اجرای رأی</w:t>
      </w:r>
      <w:bookmarkEnd w:id="22"/>
    </w:p>
    <w:p w:rsidR="002C203A" w:rsidRPr="002C203A" w:rsidRDefault="002C203A" w:rsidP="004C2DA3">
      <w:pPr>
        <w:bidi/>
        <w:ind w:firstLine="360"/>
        <w:rPr>
          <w:rtl/>
          <w:lang w:bidi="fa-IR"/>
        </w:rPr>
      </w:pPr>
    </w:p>
    <w:p w:rsidR="003602AD" w:rsidRPr="00327656" w:rsidRDefault="003602AD" w:rsidP="004C2DA3">
      <w:pPr>
        <w:bidi/>
        <w:ind w:firstLine="360"/>
        <w:jc w:val="mediumKashida"/>
        <w:rPr>
          <w:rtl/>
          <w:lang w:bidi="fa-IR"/>
        </w:rPr>
      </w:pPr>
      <w:r>
        <w:rPr>
          <w:rFonts w:hint="cs"/>
          <w:rtl/>
          <w:lang w:bidi="fa-IR"/>
        </w:rPr>
        <w:lastRenderedPageBreak/>
        <w:t>برای شروع بحث اشاره به</w:t>
      </w:r>
      <w:r w:rsidRPr="00327656">
        <w:rPr>
          <w:rFonts w:hint="cs"/>
          <w:rtl/>
          <w:lang w:bidi="fa-IR"/>
        </w:rPr>
        <w:t xml:space="preserve"> اظهار نظر </w:t>
      </w:r>
      <w:r w:rsidR="005356A7">
        <w:rPr>
          <w:rFonts w:hint="cs"/>
          <w:rtl/>
          <w:lang w:bidi="fa-IR"/>
        </w:rPr>
        <w:t>پروفسور وان‌دن</w:t>
      </w:r>
      <w:r w:rsidRPr="00327656">
        <w:rPr>
          <w:rFonts w:hint="cs"/>
          <w:rtl/>
          <w:lang w:bidi="fa-IR"/>
        </w:rPr>
        <w:t xml:space="preserve">برگ </w:t>
      </w:r>
      <w:r>
        <w:rPr>
          <w:rFonts w:hint="cs"/>
          <w:rtl/>
          <w:lang w:bidi="fa-IR"/>
        </w:rPr>
        <w:t>در این رابطه مناسب به نظر می‌رسد.</w:t>
      </w:r>
      <w:r w:rsidRPr="00327656">
        <w:rPr>
          <w:rFonts w:hint="cs"/>
          <w:rtl/>
          <w:lang w:bidi="fa-IR"/>
        </w:rPr>
        <w:t xml:space="preserve"> ایشان ابراز داشته‌اند که معیار نظم عمومی به ندرت منجر به امتناع از اجرای رأی می‌شود؛ یکی از علل آن، تمایز قائل شدن میان نظم عمومی داخلی و بین‌المللی است.</w:t>
      </w:r>
      <w:r w:rsidRPr="00327656">
        <w:rPr>
          <w:rStyle w:val="FootnoteReference"/>
          <w:rtl/>
          <w:lang w:bidi="fa-IR"/>
        </w:rPr>
        <w:footnoteReference w:id="146"/>
      </w:r>
    </w:p>
    <w:p w:rsidR="003602AD" w:rsidRPr="00A63C93" w:rsidRDefault="003602AD" w:rsidP="004C2DA3">
      <w:pPr>
        <w:bidi/>
        <w:ind w:firstLine="360"/>
        <w:jc w:val="mediumKashida"/>
        <w:rPr>
          <w:sz w:val="32"/>
          <w:szCs w:val="32"/>
          <w:rtl/>
          <w:lang w:bidi="fa-IR"/>
        </w:rPr>
      </w:pPr>
      <w:r w:rsidRPr="00327656">
        <w:rPr>
          <w:rFonts w:hint="cs"/>
          <w:rtl/>
          <w:lang w:bidi="fa-IR"/>
        </w:rPr>
        <w:t>مراجعه به نظم عمومی بین‌المللی توسط قوانین و دادگاه‌ها به طور فزاینده‌ای رو به افزایش است. برای مثال، در مواد 1498 و 1502 قانون جدید آیین دادرسی مدنی 1981 فرانسه، یکی از موارد امتناع از ش</w:t>
      </w:r>
      <w:r>
        <w:rPr>
          <w:rFonts w:hint="cs"/>
          <w:rtl/>
          <w:lang w:bidi="fa-IR"/>
        </w:rPr>
        <w:t>ناسایی یا اجرای رأی داوری در تعارض بودن آن</w:t>
      </w:r>
      <w:r w:rsidRPr="00327656">
        <w:rPr>
          <w:rFonts w:hint="cs"/>
          <w:rtl/>
          <w:lang w:bidi="fa-IR"/>
        </w:rPr>
        <w:t xml:space="preserve"> با نظم عمومی بین‌المللی</w:t>
      </w:r>
      <w:r>
        <w:rPr>
          <w:rFonts w:hint="cs"/>
          <w:rtl/>
          <w:lang w:bidi="fa-IR"/>
        </w:rPr>
        <w:t xml:space="preserve"> ذکر شده</w:t>
      </w:r>
      <w:r w:rsidRPr="00327656">
        <w:rPr>
          <w:rFonts w:hint="cs"/>
          <w:rtl/>
          <w:lang w:bidi="fa-IR"/>
        </w:rPr>
        <w:t xml:space="preserve"> است.</w:t>
      </w:r>
      <w:r w:rsidRPr="00327656">
        <w:rPr>
          <w:rStyle w:val="FootnoteReference"/>
          <w:rtl/>
          <w:lang w:bidi="fa-IR"/>
        </w:rPr>
        <w:footnoteReference w:id="147"/>
      </w:r>
      <w:r w:rsidRPr="00327656">
        <w:rPr>
          <w:rFonts w:hint="cs"/>
          <w:rtl/>
          <w:lang w:bidi="fa-IR"/>
        </w:rPr>
        <w:t xml:space="preserve"> پرتغال نیز مقررات مشابهی در این زمینه دارد.</w:t>
      </w:r>
      <w:r w:rsidRPr="00327656">
        <w:rPr>
          <w:rStyle w:val="FootnoteReference"/>
          <w:rtl/>
          <w:lang w:bidi="fa-IR"/>
        </w:rPr>
        <w:footnoteReference w:id="148"/>
      </w:r>
      <w:r w:rsidRPr="00327656">
        <w:rPr>
          <w:rFonts w:hint="cs"/>
          <w:rtl/>
          <w:lang w:bidi="fa-IR"/>
        </w:rPr>
        <w:t xml:space="preserve"> دادگاه</w:t>
      </w:r>
      <w:r w:rsidRPr="00A63C93">
        <w:rPr>
          <w:rFonts w:hint="cs"/>
          <w:sz w:val="32"/>
          <w:szCs w:val="32"/>
          <w:rtl/>
          <w:lang w:bidi="fa-IR"/>
        </w:rPr>
        <w:t xml:space="preserve"> </w:t>
      </w:r>
      <w:r w:rsidRPr="00327656">
        <w:rPr>
          <w:rFonts w:hint="cs"/>
          <w:rtl/>
          <w:lang w:bidi="fa-IR"/>
        </w:rPr>
        <w:t>استیناف میلان</w:t>
      </w:r>
      <w:r>
        <w:rPr>
          <w:rFonts w:hint="cs"/>
          <w:rtl/>
          <w:lang w:bidi="fa-IR"/>
        </w:rPr>
        <w:t xml:space="preserve"> در یکی از رسیدگی‌هایش در زمینه موضوع مطروحه ابراز کرد</w:t>
      </w:r>
      <w:r w:rsidRPr="00327656">
        <w:rPr>
          <w:rFonts w:hint="cs"/>
          <w:rtl/>
          <w:lang w:bidi="fa-IR"/>
        </w:rPr>
        <w:t xml:space="preserve"> که نظم عمومی مندرج در ماده (ب)(2) 5 کنوانسیون نیویورک نظم عمومی بین‌المللی می‌باشد.</w:t>
      </w:r>
      <w:r w:rsidRPr="00327656">
        <w:rPr>
          <w:rStyle w:val="FootnoteReference"/>
          <w:rtl/>
          <w:lang w:bidi="fa-IR"/>
        </w:rPr>
        <w:footnoteReference w:id="149"/>
      </w:r>
      <w:r w:rsidRPr="00A63C93">
        <w:rPr>
          <w:rFonts w:hint="cs"/>
          <w:sz w:val="32"/>
          <w:szCs w:val="32"/>
          <w:rtl/>
          <w:lang w:bidi="fa-IR"/>
        </w:rPr>
        <w:t xml:space="preserve"> </w:t>
      </w:r>
    </w:p>
    <w:p w:rsidR="003602AD" w:rsidRPr="00327656" w:rsidRDefault="003602AD" w:rsidP="004C2DA3">
      <w:pPr>
        <w:bidi/>
        <w:ind w:firstLine="360"/>
        <w:jc w:val="mediumKashida"/>
        <w:rPr>
          <w:rtl/>
          <w:lang w:bidi="fa-IR"/>
        </w:rPr>
      </w:pPr>
      <w:r w:rsidRPr="00327656">
        <w:rPr>
          <w:rFonts w:hint="cs"/>
          <w:rtl/>
          <w:lang w:bidi="fa-IR"/>
        </w:rPr>
        <w:t>در</w:t>
      </w:r>
      <w:r>
        <w:rPr>
          <w:rFonts w:hint="cs"/>
          <w:rtl/>
          <w:lang w:bidi="fa-IR"/>
        </w:rPr>
        <w:t xml:space="preserve"> نظام حقوقی</w:t>
      </w:r>
      <w:r w:rsidRPr="00327656">
        <w:rPr>
          <w:rFonts w:hint="cs"/>
          <w:rtl/>
          <w:lang w:bidi="fa-IR"/>
        </w:rPr>
        <w:t xml:space="preserve"> فرانسه مفهوم نظم عمومی بین‌الملل</w:t>
      </w:r>
      <w:r>
        <w:rPr>
          <w:rFonts w:hint="cs"/>
          <w:rtl/>
          <w:lang w:bidi="fa-IR"/>
        </w:rPr>
        <w:t>ی مضیق‌تر از نظم عمومی داخلی دانسته شده</w:t>
      </w:r>
      <w:r w:rsidRPr="00327656">
        <w:rPr>
          <w:rFonts w:hint="cs"/>
          <w:rtl/>
          <w:lang w:bidi="fa-IR"/>
        </w:rPr>
        <w:t xml:space="preserve"> است؛ بدین معنا که هر قاعده‌ای که به نظم عمومی داخلی تعلق دارد لزوماً بخشی از نظم عمومی خارجی یا بین‌المللی نیست. </w:t>
      </w:r>
      <w:r>
        <w:rPr>
          <w:rFonts w:hint="cs"/>
          <w:rtl/>
          <w:lang w:bidi="fa-IR"/>
        </w:rPr>
        <w:t xml:space="preserve">در همین راستا </w:t>
      </w:r>
      <w:r w:rsidRPr="00327656">
        <w:rPr>
          <w:rFonts w:hint="cs"/>
          <w:rtl/>
          <w:lang w:bidi="fa-IR"/>
        </w:rPr>
        <w:t>پروفسور ساندرز</w:t>
      </w:r>
      <w:r>
        <w:rPr>
          <w:rFonts w:hint="cs"/>
          <w:rtl/>
          <w:lang w:bidi="fa-IR"/>
        </w:rPr>
        <w:t xml:space="preserve"> اظهار </w:t>
      </w:r>
      <w:r w:rsidR="001C7348">
        <w:rPr>
          <w:rFonts w:hint="cs"/>
          <w:rtl/>
          <w:lang w:bidi="fa-IR"/>
        </w:rPr>
        <w:t>‌می‌</w:t>
      </w:r>
      <w:r>
        <w:rPr>
          <w:rFonts w:hint="cs"/>
          <w:rtl/>
          <w:lang w:bidi="fa-IR"/>
        </w:rPr>
        <w:t>دارد</w:t>
      </w:r>
      <w:r w:rsidRPr="00327656">
        <w:rPr>
          <w:rFonts w:hint="cs"/>
          <w:rtl/>
          <w:lang w:bidi="fa-IR"/>
        </w:rPr>
        <w:t xml:space="preserve"> که:</w:t>
      </w:r>
    </w:p>
    <w:p w:rsidR="003602AD" w:rsidRPr="004850CB" w:rsidRDefault="003602AD" w:rsidP="004C2DA3">
      <w:pPr>
        <w:bidi/>
        <w:ind w:firstLine="360"/>
        <w:jc w:val="mediumKashida"/>
        <w:rPr>
          <w:rtl/>
          <w:lang w:bidi="fa-IR"/>
        </w:rPr>
      </w:pPr>
      <w:r w:rsidRPr="004850CB">
        <w:rPr>
          <w:rFonts w:hint="cs"/>
          <w:sz w:val="24"/>
          <w:szCs w:val="24"/>
          <w:rtl/>
          <w:lang w:bidi="fa-IR"/>
        </w:rPr>
        <w:lastRenderedPageBreak/>
        <w:t>"مطابق با دکترینی که به طور کلی پذیرفته شده، نظم عمومی بین‌المللی به نقض واقعی مفاهیم اساسی نظام حقوقی کشور مربوطه، محدود شده است."</w:t>
      </w:r>
      <w:r w:rsidRPr="004850CB">
        <w:rPr>
          <w:rStyle w:val="FootnoteReference"/>
          <w:rtl/>
          <w:lang w:bidi="fa-IR"/>
        </w:rPr>
        <w:footnoteReference w:id="150"/>
      </w:r>
      <w:r w:rsidRPr="004850CB">
        <w:rPr>
          <w:rFonts w:hint="cs"/>
          <w:rtl/>
          <w:lang w:bidi="fa-IR"/>
        </w:rPr>
        <w:t xml:space="preserve"> </w:t>
      </w:r>
    </w:p>
    <w:p w:rsidR="003602AD" w:rsidRPr="00327656" w:rsidRDefault="003602AD" w:rsidP="004C2DA3">
      <w:pPr>
        <w:bidi/>
        <w:ind w:firstLine="360"/>
        <w:jc w:val="mediumKashida"/>
        <w:rPr>
          <w:rtl/>
          <w:lang w:bidi="fa-IR"/>
        </w:rPr>
      </w:pPr>
      <w:r>
        <w:rPr>
          <w:rFonts w:hint="cs"/>
          <w:rtl/>
          <w:lang w:bidi="fa-IR"/>
        </w:rPr>
        <w:t>برخی صاحبنظران ماده 1502 قانون آیین دادرسی مدنی فرانسه را که پیش‌تر ذکر شد به شرح ذیل تفسیر</w:t>
      </w:r>
      <w:r w:rsidRPr="00327656">
        <w:rPr>
          <w:rFonts w:hint="cs"/>
          <w:rtl/>
          <w:lang w:bidi="fa-IR"/>
        </w:rPr>
        <w:t xml:space="preserve"> کرده‌اند:</w:t>
      </w:r>
    </w:p>
    <w:p w:rsidR="003602AD" w:rsidRPr="004E3154" w:rsidRDefault="003602AD" w:rsidP="004C2DA3">
      <w:pPr>
        <w:bidi/>
        <w:ind w:firstLine="360"/>
        <w:jc w:val="mediumKashida"/>
        <w:rPr>
          <w:rFonts w:cs="Times New Roman"/>
          <w:sz w:val="24"/>
          <w:szCs w:val="24"/>
          <w:rtl/>
          <w:lang w:bidi="fa-IR"/>
        </w:rPr>
      </w:pPr>
      <w:r>
        <w:rPr>
          <w:rFonts w:cs="Times New Roman" w:hint="cs"/>
          <w:sz w:val="24"/>
          <w:szCs w:val="24"/>
          <w:rtl/>
          <w:lang w:bidi="fa-IR"/>
        </w:rPr>
        <w:t>"</w:t>
      </w:r>
      <w:r w:rsidRPr="004E3154">
        <w:rPr>
          <w:rFonts w:hint="cs"/>
          <w:sz w:val="24"/>
          <w:szCs w:val="24"/>
          <w:rtl/>
          <w:lang w:bidi="fa-IR"/>
        </w:rPr>
        <w:t>نظم عمومی بین‌المللی که در ماده (2).1502 بدان اشاره شده است، فقط معنی نظم عمومی ب</w:t>
      </w:r>
      <w:r>
        <w:rPr>
          <w:rFonts w:hint="cs"/>
          <w:sz w:val="24"/>
          <w:szCs w:val="24"/>
          <w:rtl/>
          <w:lang w:bidi="fa-IR"/>
        </w:rPr>
        <w:t>ین‌المللی فرانسه را می‌رساند،</w:t>
      </w:r>
      <w:r w:rsidRPr="004E3154">
        <w:rPr>
          <w:rFonts w:hint="cs"/>
          <w:sz w:val="24"/>
          <w:szCs w:val="24"/>
          <w:rtl/>
          <w:lang w:bidi="fa-IR"/>
        </w:rPr>
        <w:t xml:space="preserve"> به بیان دیگر؛ </w:t>
      </w:r>
      <w:r>
        <w:rPr>
          <w:rFonts w:hint="cs"/>
          <w:sz w:val="24"/>
          <w:szCs w:val="24"/>
          <w:rtl/>
          <w:lang w:bidi="fa-IR"/>
        </w:rPr>
        <w:t>نظم عمومی بین‌المللی م</w:t>
      </w:r>
      <w:r w:rsidRPr="004E3154">
        <w:rPr>
          <w:rFonts w:hint="cs"/>
          <w:sz w:val="24"/>
          <w:szCs w:val="24"/>
          <w:rtl/>
          <w:lang w:bidi="fa-IR"/>
        </w:rPr>
        <w:t>جموعه‌ای از ارزش‌ها می‌باشد که نظام قانونی فرانسه نقض آن‌ها را حتی در پرونده‌های ب</w:t>
      </w:r>
      <w:r>
        <w:rPr>
          <w:rFonts w:hint="cs"/>
          <w:sz w:val="24"/>
          <w:szCs w:val="24"/>
          <w:rtl/>
          <w:lang w:bidi="fa-IR"/>
        </w:rPr>
        <w:t>ین‌المللی نمی‌تواند تاب بیاورد.</w:t>
      </w:r>
      <w:r>
        <w:rPr>
          <w:rFonts w:cs="Times New Roman" w:hint="cs"/>
          <w:sz w:val="24"/>
          <w:szCs w:val="24"/>
          <w:rtl/>
          <w:lang w:bidi="fa-IR"/>
        </w:rPr>
        <w:t>"</w:t>
      </w:r>
      <w:r w:rsidRPr="004E3154">
        <w:rPr>
          <w:rStyle w:val="FootnoteReference"/>
          <w:rtl/>
          <w:lang w:bidi="fa-IR"/>
        </w:rPr>
        <w:t xml:space="preserve"> </w:t>
      </w:r>
      <w:r w:rsidRPr="00327656">
        <w:rPr>
          <w:rStyle w:val="FootnoteReference"/>
          <w:rtl/>
          <w:lang w:bidi="fa-IR"/>
        </w:rPr>
        <w:footnoteReference w:id="151"/>
      </w:r>
    </w:p>
    <w:p w:rsidR="003602AD" w:rsidRPr="00A63C93" w:rsidRDefault="003602AD" w:rsidP="004C2DA3">
      <w:pPr>
        <w:bidi/>
        <w:ind w:firstLine="360"/>
        <w:jc w:val="mediumKashida"/>
        <w:rPr>
          <w:sz w:val="32"/>
          <w:szCs w:val="32"/>
          <w:rtl/>
          <w:lang w:bidi="fa-IR"/>
        </w:rPr>
      </w:pPr>
      <w:r w:rsidRPr="00327656">
        <w:rPr>
          <w:rFonts w:hint="cs"/>
          <w:rtl/>
          <w:lang w:bidi="fa-IR"/>
        </w:rPr>
        <w:t>به‌طور مشابه، قانون پرتغال</w:t>
      </w:r>
      <w:r>
        <w:rPr>
          <w:rFonts w:hint="cs"/>
          <w:rtl/>
          <w:lang w:bidi="fa-IR"/>
        </w:rPr>
        <w:t xml:space="preserve"> نیز</w:t>
      </w:r>
      <w:r w:rsidRPr="00327656">
        <w:rPr>
          <w:rFonts w:hint="cs"/>
          <w:rtl/>
          <w:lang w:bidi="fa-IR"/>
        </w:rPr>
        <w:t xml:space="preserve"> به اصول نظم عمومی بین‌المللی پرتغال</w:t>
      </w:r>
      <w:r w:rsidRPr="00327656">
        <w:rPr>
          <w:rFonts w:cs="Times New Roman" w:hint="cs"/>
          <w:rtl/>
          <w:lang w:bidi="fa-IR"/>
        </w:rPr>
        <w:t xml:space="preserve"> </w:t>
      </w:r>
      <w:r w:rsidRPr="00327656">
        <w:rPr>
          <w:rFonts w:hint="cs"/>
          <w:rtl/>
          <w:lang w:bidi="fa-IR"/>
        </w:rPr>
        <w:t>اشاره می‌کند. بنابراین می‌توان گفت مضمون و کاربرد نظم عمومی بین‌المللی وابسته به تفکر حاکم بر نظام ح</w:t>
      </w:r>
      <w:r>
        <w:rPr>
          <w:rFonts w:hint="cs"/>
          <w:rtl/>
          <w:lang w:bidi="fa-IR"/>
        </w:rPr>
        <w:t>قوقی فرانسه و پرتغال است و این‌</w:t>
      </w:r>
      <w:r w:rsidRPr="00327656">
        <w:rPr>
          <w:rFonts w:hint="cs"/>
          <w:rtl/>
          <w:lang w:bidi="fa-IR"/>
        </w:rPr>
        <w:t>گونه نیست که هر دو</w:t>
      </w:r>
      <w:r w:rsidRPr="00A63C93">
        <w:rPr>
          <w:rFonts w:hint="cs"/>
          <w:sz w:val="32"/>
          <w:szCs w:val="32"/>
          <w:rtl/>
          <w:lang w:bidi="fa-IR"/>
        </w:rPr>
        <w:t xml:space="preserve"> </w:t>
      </w:r>
      <w:r w:rsidRPr="00327656">
        <w:rPr>
          <w:rFonts w:hint="cs"/>
          <w:rtl/>
          <w:lang w:bidi="fa-IR"/>
        </w:rPr>
        <w:t xml:space="preserve">کشور لزوماً به دنبال شناسایی و اعمال یک استاندارد بین‌المللی مشترک باشند. </w:t>
      </w:r>
    </w:p>
    <w:p w:rsidR="003602AD" w:rsidRPr="00327656" w:rsidRDefault="003602AD" w:rsidP="004C2DA3">
      <w:pPr>
        <w:bidi/>
        <w:ind w:firstLine="360"/>
        <w:jc w:val="mediumKashida"/>
        <w:rPr>
          <w:rtl/>
          <w:lang w:bidi="fa-IR"/>
        </w:rPr>
      </w:pPr>
      <w:r>
        <w:rPr>
          <w:rFonts w:hint="cs"/>
          <w:rtl/>
          <w:lang w:bidi="fa-IR"/>
        </w:rPr>
        <w:t xml:space="preserve">این‌گونه به نظر می‌رسد که </w:t>
      </w:r>
      <w:r w:rsidRPr="00327656">
        <w:rPr>
          <w:rFonts w:hint="cs"/>
          <w:rtl/>
          <w:lang w:bidi="fa-IR"/>
        </w:rPr>
        <w:t>دادگاه استیناف میلان</w:t>
      </w:r>
      <w:r>
        <w:rPr>
          <w:rFonts w:hint="cs"/>
          <w:rtl/>
          <w:lang w:bidi="fa-IR"/>
        </w:rPr>
        <w:t xml:space="preserve"> (که در بالا اشاره شد)</w:t>
      </w:r>
      <w:r w:rsidRPr="00327656">
        <w:rPr>
          <w:rFonts w:hint="cs"/>
          <w:rtl/>
          <w:lang w:bidi="fa-IR"/>
        </w:rPr>
        <w:t xml:space="preserve"> یک مفهوم فراملی‌تر از نظم عمومی بین‌المللی</w:t>
      </w:r>
      <w:r>
        <w:rPr>
          <w:rFonts w:hint="cs"/>
          <w:rtl/>
          <w:lang w:bidi="fa-IR"/>
        </w:rPr>
        <w:t xml:space="preserve"> مدنظر</w:t>
      </w:r>
      <w:r w:rsidRPr="00327656">
        <w:rPr>
          <w:rFonts w:hint="cs"/>
          <w:rtl/>
          <w:lang w:bidi="fa-IR"/>
        </w:rPr>
        <w:t xml:space="preserve"> داشته</w:t>
      </w:r>
      <w:r>
        <w:rPr>
          <w:rFonts w:hint="cs"/>
          <w:rtl/>
          <w:lang w:bidi="fa-IR"/>
        </w:rPr>
        <w:t xml:space="preserve"> است</w:t>
      </w:r>
      <w:r w:rsidRPr="00327656">
        <w:rPr>
          <w:rFonts w:hint="cs"/>
          <w:rtl/>
          <w:lang w:bidi="fa-IR"/>
        </w:rPr>
        <w:t xml:space="preserve">، </w:t>
      </w:r>
      <w:r>
        <w:rPr>
          <w:rFonts w:hint="cs"/>
          <w:rtl/>
          <w:lang w:bidi="fa-IR"/>
        </w:rPr>
        <w:t xml:space="preserve">چرا که آن‌را این‌گونه </w:t>
      </w:r>
      <w:r w:rsidRPr="00327656">
        <w:rPr>
          <w:rFonts w:hint="cs"/>
          <w:rtl/>
          <w:lang w:bidi="fa-IR"/>
        </w:rPr>
        <w:t xml:space="preserve">توصیف </w:t>
      </w:r>
      <w:r>
        <w:rPr>
          <w:rFonts w:hint="cs"/>
          <w:rtl/>
          <w:lang w:bidi="fa-IR"/>
        </w:rPr>
        <w:t>می‌</w:t>
      </w:r>
      <w:r w:rsidRPr="00327656">
        <w:rPr>
          <w:rFonts w:hint="cs"/>
          <w:rtl/>
          <w:lang w:bidi="fa-IR"/>
        </w:rPr>
        <w:t>ک</w:t>
      </w:r>
      <w:r>
        <w:rPr>
          <w:rFonts w:hint="cs"/>
          <w:rtl/>
          <w:lang w:bidi="fa-IR"/>
        </w:rPr>
        <w:t>ن</w:t>
      </w:r>
      <w:r w:rsidRPr="00327656">
        <w:rPr>
          <w:rFonts w:hint="cs"/>
          <w:rtl/>
          <w:lang w:bidi="fa-IR"/>
        </w:rPr>
        <w:t>د، تحت عنوان:</w:t>
      </w:r>
    </w:p>
    <w:p w:rsidR="003602AD" w:rsidRDefault="003602AD" w:rsidP="004C2DA3">
      <w:pPr>
        <w:bidi/>
        <w:ind w:firstLine="360"/>
        <w:jc w:val="mediumKashida"/>
        <w:rPr>
          <w:lang w:bidi="fa-IR"/>
        </w:rPr>
      </w:pPr>
      <w:r w:rsidRPr="006C6C1F">
        <w:rPr>
          <w:rFonts w:hint="cs"/>
          <w:sz w:val="24"/>
          <w:szCs w:val="24"/>
          <w:rtl/>
          <w:lang w:bidi="fa-IR"/>
        </w:rPr>
        <w:t>"مجموعه‌ای از اصول جهانی مشترک میان ملل متمدن، با هدف حمایت از حقوق بنیادین بشر که اغلب این اصول در اعلامیه‌ها و کنوانسیون‌های بین‌المللی درج شده است."</w:t>
      </w:r>
      <w:r w:rsidRPr="00327656">
        <w:rPr>
          <w:rStyle w:val="FootnoteReference"/>
          <w:rtl/>
          <w:lang w:bidi="fa-IR"/>
        </w:rPr>
        <w:footnoteReference w:id="152"/>
      </w:r>
    </w:p>
    <w:p w:rsidR="003602AD" w:rsidRDefault="003602AD" w:rsidP="004C2DA3">
      <w:pPr>
        <w:bidi/>
        <w:ind w:firstLine="360"/>
        <w:jc w:val="mediumKashida"/>
        <w:rPr>
          <w:rtl/>
          <w:lang w:bidi="fa-IR"/>
        </w:rPr>
      </w:pPr>
    </w:p>
    <w:p w:rsidR="002C203A" w:rsidRDefault="002C203A" w:rsidP="00BE0B2D">
      <w:pPr>
        <w:bidi/>
        <w:jc w:val="mediumKashida"/>
        <w:rPr>
          <w:rtl/>
          <w:lang w:bidi="fa-IR"/>
        </w:rPr>
      </w:pPr>
    </w:p>
    <w:p w:rsidR="002C203A" w:rsidRDefault="003602AD" w:rsidP="000A47F6">
      <w:pPr>
        <w:pStyle w:val="Heading3"/>
        <w:rPr>
          <w:rtl/>
        </w:rPr>
      </w:pPr>
      <w:bookmarkStart w:id="23" w:name="_Toc397212650"/>
      <w:r w:rsidRPr="002C203A">
        <w:rPr>
          <w:rFonts w:hint="cs"/>
          <w:rtl/>
        </w:rPr>
        <w:lastRenderedPageBreak/>
        <w:t>1-3) کاربرد نظم عمومی واقعاً بین‌المللی یا نظم عمومی فراملی در زمینه امتناع از اجرای رأی</w:t>
      </w:r>
      <w:bookmarkEnd w:id="23"/>
    </w:p>
    <w:p w:rsidR="002C203A" w:rsidRPr="002C203A" w:rsidRDefault="002C203A" w:rsidP="004C2DA3">
      <w:pPr>
        <w:bidi/>
        <w:ind w:firstLine="360"/>
        <w:rPr>
          <w:rtl/>
          <w:lang w:bidi="fa-IR"/>
        </w:rPr>
      </w:pPr>
    </w:p>
    <w:p w:rsidR="003602AD" w:rsidRPr="000F406E" w:rsidRDefault="003602AD" w:rsidP="004C2DA3">
      <w:pPr>
        <w:bidi/>
        <w:ind w:firstLine="360"/>
        <w:jc w:val="mediumKashida"/>
        <w:rPr>
          <w:rtl/>
          <w:lang w:bidi="fa-IR"/>
        </w:rPr>
      </w:pPr>
      <w:r>
        <w:rPr>
          <w:rFonts w:hint="cs"/>
          <w:rtl/>
          <w:lang w:bidi="fa-IR"/>
        </w:rPr>
        <w:t xml:space="preserve">دامنه مفهوم نظم عمومی فراملی یا </w:t>
      </w:r>
      <w:r w:rsidRPr="000F406E">
        <w:rPr>
          <w:rFonts w:hint="cs"/>
          <w:rtl/>
          <w:lang w:bidi="fa-IR"/>
        </w:rPr>
        <w:t>نظم عمومی واقعاً بین‌المللی</w:t>
      </w:r>
      <w:r w:rsidRPr="000F406E">
        <w:rPr>
          <w:rStyle w:val="FootnoteReference"/>
          <w:rtl/>
          <w:lang w:bidi="fa-IR"/>
        </w:rPr>
        <w:footnoteReference w:id="153"/>
      </w:r>
      <w:r w:rsidRPr="000F406E">
        <w:rPr>
          <w:rFonts w:hint="cs"/>
          <w:rtl/>
          <w:lang w:bidi="fa-IR"/>
        </w:rPr>
        <w:t xml:space="preserve"> غالباً محدود</w:t>
      </w:r>
      <w:r>
        <w:rPr>
          <w:rFonts w:hint="cs"/>
          <w:rtl/>
          <w:lang w:bidi="fa-IR"/>
        </w:rPr>
        <w:t xml:space="preserve"> است. کاربرد جهانی و فراگیر آن</w:t>
      </w:r>
      <w:r w:rsidRPr="000F406E">
        <w:rPr>
          <w:rFonts w:hint="cs"/>
          <w:rtl/>
          <w:lang w:bidi="fa-IR"/>
        </w:rPr>
        <w:t xml:space="preserve"> </w:t>
      </w:r>
      <w:r>
        <w:rPr>
          <w:rFonts w:hint="cs"/>
          <w:rtl/>
          <w:lang w:bidi="fa-IR"/>
        </w:rPr>
        <w:t xml:space="preserve">نیز </w:t>
      </w:r>
      <w:r w:rsidRPr="000F406E">
        <w:rPr>
          <w:rFonts w:hint="cs"/>
          <w:rtl/>
          <w:lang w:bidi="fa-IR"/>
        </w:rPr>
        <w:t>ناشی از قواعد بنیادین حقوق طبیعی می‌باشد. اصول جهانی عدالت، قواعد آمره حقوق بین‌الملل عمومی، اصول کلی اخلاقی پذیرفته شده توسط ملل متمدن،</w:t>
      </w:r>
      <w:r w:rsidRPr="000F406E">
        <w:rPr>
          <w:rStyle w:val="FootnoteReference"/>
          <w:rtl/>
          <w:lang w:bidi="fa-IR"/>
        </w:rPr>
        <w:footnoteReference w:id="154"/>
      </w:r>
      <w:r w:rsidRPr="000F406E">
        <w:rPr>
          <w:rFonts w:hint="cs"/>
          <w:rtl/>
          <w:lang w:bidi="fa-IR"/>
        </w:rPr>
        <w:t xml:space="preserve"> همگی در گستره</w:t>
      </w:r>
      <w:r>
        <w:rPr>
          <w:rFonts w:hint="cs"/>
          <w:rtl/>
          <w:lang w:bidi="fa-IR"/>
        </w:rPr>
        <w:t xml:space="preserve"> مفهومی</w:t>
      </w:r>
      <w:r w:rsidRPr="000F406E">
        <w:rPr>
          <w:rFonts w:hint="cs"/>
          <w:rtl/>
          <w:lang w:bidi="fa-IR"/>
        </w:rPr>
        <w:t xml:space="preserve"> نظم عمومی</w:t>
      </w:r>
      <w:r>
        <w:rPr>
          <w:rFonts w:hint="cs"/>
          <w:rtl/>
          <w:lang w:bidi="fa-IR"/>
        </w:rPr>
        <w:t xml:space="preserve"> فراملی</w:t>
      </w:r>
      <w:r w:rsidRPr="000F406E">
        <w:rPr>
          <w:rFonts w:hint="cs"/>
          <w:rtl/>
          <w:lang w:bidi="fa-IR"/>
        </w:rPr>
        <w:t xml:space="preserve"> قرار می‌گیرند.</w:t>
      </w:r>
    </w:p>
    <w:p w:rsidR="003602AD" w:rsidRPr="000F406E" w:rsidRDefault="003602AD" w:rsidP="004C2DA3">
      <w:pPr>
        <w:bidi/>
        <w:ind w:firstLine="360"/>
        <w:jc w:val="mediumKashida"/>
        <w:rPr>
          <w:rtl/>
          <w:lang w:bidi="fa-IR"/>
        </w:rPr>
      </w:pPr>
      <w:r w:rsidRPr="000F406E">
        <w:rPr>
          <w:rFonts w:hint="cs"/>
          <w:rtl/>
          <w:lang w:bidi="fa-IR"/>
        </w:rPr>
        <w:t xml:space="preserve">شایان ذکر است که </w:t>
      </w:r>
      <w:r>
        <w:rPr>
          <w:rFonts w:hint="cs"/>
          <w:rtl/>
          <w:lang w:bidi="fa-IR"/>
        </w:rPr>
        <w:t>شاید نتوان مثالی ذکر کرد</w:t>
      </w:r>
      <w:r w:rsidRPr="000F406E">
        <w:rPr>
          <w:rFonts w:hint="cs"/>
          <w:rtl/>
          <w:lang w:bidi="fa-IR"/>
        </w:rPr>
        <w:t xml:space="preserve"> که در آن یک دادگاه به صراحت نظم عمو</w:t>
      </w:r>
      <w:r>
        <w:rPr>
          <w:rFonts w:hint="cs"/>
          <w:rtl/>
          <w:lang w:bidi="fa-IR"/>
        </w:rPr>
        <w:t>می فراملی را اعمال کرده باشد، اما</w:t>
      </w:r>
      <w:r w:rsidRPr="00A63C93">
        <w:rPr>
          <w:rFonts w:hint="cs"/>
          <w:sz w:val="32"/>
          <w:szCs w:val="32"/>
          <w:rtl/>
          <w:lang w:bidi="fa-IR"/>
        </w:rPr>
        <w:t xml:space="preserve"> </w:t>
      </w:r>
      <w:r w:rsidRPr="000F406E">
        <w:rPr>
          <w:rFonts w:hint="cs"/>
          <w:rtl/>
          <w:lang w:bidi="fa-IR"/>
        </w:rPr>
        <w:t>در تعداد کمی از</w:t>
      </w:r>
      <w:r w:rsidRPr="00A63C93">
        <w:rPr>
          <w:rFonts w:hint="cs"/>
          <w:sz w:val="32"/>
          <w:szCs w:val="32"/>
          <w:rtl/>
          <w:lang w:bidi="fa-IR"/>
        </w:rPr>
        <w:t xml:space="preserve"> </w:t>
      </w:r>
      <w:r w:rsidRPr="000F406E">
        <w:rPr>
          <w:rFonts w:hint="cs"/>
          <w:rtl/>
          <w:lang w:bidi="fa-IR"/>
        </w:rPr>
        <w:t>احکام به این مفهوم اشاره شده است. به عنوان نمونه، حکم دادگاه استیناف م</w:t>
      </w:r>
      <w:r>
        <w:rPr>
          <w:rFonts w:hint="cs"/>
          <w:rtl/>
          <w:lang w:bidi="fa-IR"/>
        </w:rPr>
        <w:t>یلان که پیش‌تر بدان اشاره شد و نیز دیوان فدرال سوئیس در سال 1994 که در بررسی پرونده‌ای اعلام داشت؛ بسیار خرسند است</w:t>
      </w:r>
      <w:r w:rsidRPr="000F406E">
        <w:rPr>
          <w:rFonts w:hint="cs"/>
          <w:rtl/>
          <w:lang w:bidi="fa-IR"/>
        </w:rPr>
        <w:t xml:space="preserve"> از در نظر گرفتن یک </w:t>
      </w:r>
      <w:r w:rsidRPr="000F406E">
        <w:rPr>
          <w:rFonts w:cs="Times New Roman" w:hint="cs"/>
          <w:rtl/>
          <w:lang w:bidi="fa-IR"/>
        </w:rPr>
        <w:t>"</w:t>
      </w:r>
      <w:r w:rsidRPr="000F406E">
        <w:rPr>
          <w:rFonts w:hint="cs"/>
          <w:rtl/>
          <w:lang w:bidi="fa-IR"/>
        </w:rPr>
        <w:t>مفهوم جهانی از نظم عمومی، که به موجب آن</w:t>
      </w:r>
      <w:r>
        <w:rPr>
          <w:rFonts w:hint="cs"/>
          <w:rtl/>
          <w:lang w:bidi="fa-IR"/>
        </w:rPr>
        <w:t>، در صورتی</w:t>
      </w:r>
      <w:r w:rsidRPr="000F406E">
        <w:rPr>
          <w:rFonts w:hint="cs"/>
          <w:rtl/>
          <w:lang w:bidi="fa-IR"/>
        </w:rPr>
        <w:t xml:space="preserve"> </w:t>
      </w:r>
      <w:r>
        <w:rPr>
          <w:rFonts w:hint="cs"/>
          <w:rtl/>
          <w:lang w:bidi="fa-IR"/>
        </w:rPr>
        <w:t>رأی</w:t>
      </w:r>
      <w:r w:rsidRPr="000F406E">
        <w:rPr>
          <w:rFonts w:hint="cs"/>
          <w:rtl/>
          <w:lang w:bidi="fa-IR"/>
        </w:rPr>
        <w:t xml:space="preserve"> ناقض نظم عمومی می‌باشد که مخالف اصول قانونی یا </w:t>
      </w:r>
      <w:r>
        <w:rPr>
          <w:rFonts w:hint="cs"/>
          <w:rtl/>
          <w:lang w:bidi="fa-IR"/>
        </w:rPr>
        <w:t>اخلاقی بنیادین</w:t>
      </w:r>
      <w:r w:rsidRPr="000F406E">
        <w:rPr>
          <w:rFonts w:hint="cs"/>
          <w:rtl/>
          <w:lang w:bidi="fa-IR"/>
        </w:rPr>
        <w:t xml:space="preserve"> شناخته شده در همه‌ی کشورهای متمدن </w:t>
      </w:r>
      <w:r>
        <w:rPr>
          <w:rFonts w:hint="cs"/>
          <w:rtl/>
          <w:lang w:bidi="fa-IR"/>
        </w:rPr>
        <w:t>باشد</w:t>
      </w:r>
      <w:r w:rsidRPr="00FE5ECC">
        <w:rPr>
          <w:rFonts w:hint="cs"/>
          <w:rtl/>
          <w:lang w:bidi="fa-IR"/>
        </w:rPr>
        <w:t>."</w:t>
      </w:r>
      <w:r w:rsidRPr="00FE5ECC">
        <w:rPr>
          <w:vertAlign w:val="superscript"/>
          <w:lang w:bidi="fa-IR"/>
        </w:rPr>
        <w:footnoteReference w:id="155"/>
      </w:r>
      <w:r w:rsidRPr="000F406E">
        <w:rPr>
          <w:rFonts w:hint="cs"/>
          <w:rtl/>
          <w:lang w:bidi="fa-IR"/>
        </w:rPr>
        <w:t>در شماری از پرونده‌ها</w:t>
      </w:r>
      <w:r>
        <w:rPr>
          <w:rFonts w:hint="cs"/>
          <w:rtl/>
          <w:lang w:bidi="fa-IR"/>
        </w:rPr>
        <w:t>ی مطروحه در این زمینه</w:t>
      </w:r>
      <w:r w:rsidRPr="000F406E">
        <w:rPr>
          <w:rFonts w:hint="cs"/>
          <w:rtl/>
          <w:lang w:bidi="fa-IR"/>
        </w:rPr>
        <w:t xml:space="preserve"> نیز </w:t>
      </w:r>
      <w:r>
        <w:rPr>
          <w:rFonts w:hint="cs"/>
          <w:rtl/>
          <w:lang w:bidi="fa-IR"/>
        </w:rPr>
        <w:t>اعمال</w:t>
      </w:r>
      <w:r w:rsidRPr="000F406E">
        <w:rPr>
          <w:rFonts w:hint="cs"/>
          <w:rtl/>
          <w:lang w:bidi="fa-IR"/>
        </w:rPr>
        <w:t xml:space="preserve"> مشخصی در </w:t>
      </w:r>
      <w:r>
        <w:rPr>
          <w:rFonts w:hint="cs"/>
          <w:rtl/>
          <w:lang w:bidi="fa-IR"/>
        </w:rPr>
        <w:t xml:space="preserve">نظر گرفته </w:t>
      </w:r>
      <w:r w:rsidRPr="000F406E">
        <w:rPr>
          <w:rFonts w:hint="cs"/>
          <w:rtl/>
          <w:lang w:bidi="fa-IR"/>
        </w:rPr>
        <w:t>شده‌اند، جرائمی چون ارتشاء، خرید و فروش مواد مخدر، قاچاق و تروریسم که تقریباً در سرتاسر جهان غیر قانونی هستند.</w:t>
      </w:r>
      <w:r w:rsidRPr="000F406E">
        <w:rPr>
          <w:rStyle w:val="FootnoteReference"/>
          <w:rtl/>
          <w:lang w:bidi="fa-IR"/>
        </w:rPr>
        <w:footnoteReference w:id="156"/>
      </w:r>
      <w:r>
        <w:rPr>
          <w:rFonts w:hint="cs"/>
          <w:rtl/>
          <w:lang w:bidi="fa-IR"/>
        </w:rPr>
        <w:t xml:space="preserve"> دادگاه استیناف پاریس در همین</w:t>
      </w:r>
      <w:r w:rsidRPr="000F406E">
        <w:rPr>
          <w:rFonts w:hint="cs"/>
          <w:rtl/>
          <w:lang w:bidi="fa-IR"/>
        </w:rPr>
        <w:t xml:space="preserve"> رابطه متذکر شد که ارتشاء در تضاد با نظم عمومی فرانسه و همچنین اصول اخلاقی تجارت بین‌الملل </w:t>
      </w:r>
      <w:r w:rsidRPr="000F406E">
        <w:rPr>
          <w:rFonts w:hint="cs"/>
          <w:rtl/>
          <w:lang w:bidi="fa-IR"/>
        </w:rPr>
        <w:lastRenderedPageBreak/>
        <w:t>می‌باشد. این مسئله توسط اکثریت گسترده‌ای از کشورها در جامعه بین‌المللی پذیرفته شده است.</w:t>
      </w:r>
    </w:p>
    <w:p w:rsidR="003602AD" w:rsidRDefault="003602AD" w:rsidP="00C85CCC">
      <w:pPr>
        <w:bidi/>
        <w:jc w:val="mediumKashida"/>
        <w:rPr>
          <w:lang w:bidi="fa-IR"/>
        </w:rPr>
      </w:pPr>
    </w:p>
    <w:p w:rsidR="00C85CCC" w:rsidRDefault="00C85CCC" w:rsidP="00C85CCC">
      <w:pPr>
        <w:bidi/>
        <w:jc w:val="mediumKashida"/>
        <w:rPr>
          <w:lang w:bidi="fa-IR"/>
        </w:rPr>
      </w:pPr>
    </w:p>
    <w:p w:rsidR="00C85CCC" w:rsidRPr="00906789" w:rsidRDefault="00C85CCC" w:rsidP="00C85CCC">
      <w:pPr>
        <w:bidi/>
        <w:jc w:val="mediumKashida"/>
        <w:rPr>
          <w:rtl/>
          <w:lang w:bidi="fa-IR"/>
        </w:rPr>
      </w:pPr>
    </w:p>
    <w:p w:rsidR="003602AD" w:rsidRDefault="003602AD" w:rsidP="004C2DA3">
      <w:pPr>
        <w:pStyle w:val="Heading2"/>
        <w:bidi/>
        <w:ind w:firstLine="360"/>
        <w:jc w:val="center"/>
        <w:rPr>
          <w:rtl/>
          <w:lang w:bidi="fa-IR"/>
        </w:rPr>
      </w:pPr>
      <w:bookmarkStart w:id="24" w:name="_Toc397212651"/>
      <w:r w:rsidRPr="00ED6A2B">
        <w:rPr>
          <w:rFonts w:hint="cs"/>
          <w:rtl/>
          <w:lang w:bidi="fa-IR"/>
        </w:rPr>
        <w:t>گفتار دوم: کنوانسیون‌های اجرایی و قوانین ملی</w:t>
      </w:r>
      <w:bookmarkEnd w:id="24"/>
    </w:p>
    <w:p w:rsidR="002C203A" w:rsidRPr="002C203A" w:rsidRDefault="002C203A" w:rsidP="004C2DA3">
      <w:pPr>
        <w:bidi/>
        <w:ind w:firstLine="360"/>
        <w:rPr>
          <w:rtl/>
          <w:lang w:bidi="fa-IR"/>
        </w:rPr>
      </w:pPr>
    </w:p>
    <w:p w:rsidR="003602AD" w:rsidRDefault="003602AD" w:rsidP="004C2DA3">
      <w:pPr>
        <w:bidi/>
        <w:ind w:firstLine="360"/>
        <w:jc w:val="mediumKashida"/>
        <w:rPr>
          <w:rtl/>
          <w:lang w:bidi="fa-IR"/>
        </w:rPr>
      </w:pPr>
      <w:r>
        <w:rPr>
          <w:rFonts w:hint="cs"/>
          <w:rtl/>
          <w:lang w:bidi="fa-IR"/>
        </w:rPr>
        <w:t>در</w:t>
      </w:r>
      <w:r w:rsidRPr="00906789">
        <w:rPr>
          <w:rFonts w:hint="cs"/>
          <w:rtl/>
          <w:lang w:bidi="fa-IR"/>
        </w:rPr>
        <w:t xml:space="preserve"> هیچ یک از کنو</w:t>
      </w:r>
      <w:r w:rsidR="001C7348">
        <w:rPr>
          <w:rFonts w:hint="cs"/>
          <w:rtl/>
          <w:lang w:bidi="fa-IR"/>
        </w:rPr>
        <w:t>ا</w:t>
      </w:r>
      <w:r w:rsidRPr="00906789">
        <w:rPr>
          <w:rFonts w:hint="cs"/>
          <w:rtl/>
          <w:lang w:bidi="fa-IR"/>
        </w:rPr>
        <w:t>نسیون‌های بین‌المللی</w:t>
      </w:r>
      <w:r>
        <w:rPr>
          <w:rFonts w:hint="cs"/>
          <w:rtl/>
          <w:lang w:bidi="fa-IR"/>
        </w:rPr>
        <w:t xml:space="preserve"> در زمینه اجرای احکام داوری و</w:t>
      </w:r>
      <w:r w:rsidRPr="00906789">
        <w:rPr>
          <w:rFonts w:hint="cs"/>
          <w:rtl/>
          <w:lang w:bidi="fa-IR"/>
        </w:rPr>
        <w:t xml:space="preserve"> قانون نمونه آنسیترال، اشاره صریحی به نظم عمومی بین‌</w:t>
      </w:r>
      <w:r>
        <w:rPr>
          <w:rFonts w:hint="cs"/>
          <w:rtl/>
          <w:lang w:bidi="fa-IR"/>
        </w:rPr>
        <w:t>المللی یا نظم عمومی فراملی صورت نگرفته است</w:t>
      </w:r>
      <w:r w:rsidRPr="00906789">
        <w:rPr>
          <w:rFonts w:hint="cs"/>
          <w:rtl/>
          <w:lang w:bidi="fa-IR"/>
        </w:rPr>
        <w:t>. آن‌ها به دنبال هماهنگ سازی معیار نظ</w:t>
      </w:r>
      <w:r>
        <w:rPr>
          <w:rFonts w:hint="cs"/>
          <w:rtl/>
          <w:lang w:bidi="fa-IR"/>
        </w:rPr>
        <w:t>م عمومی با شناسایی و اجرا نبوده‌اند</w:t>
      </w:r>
      <w:r w:rsidRPr="00906789">
        <w:rPr>
          <w:rFonts w:hint="cs"/>
          <w:rtl/>
          <w:lang w:bidi="fa-IR"/>
        </w:rPr>
        <w:t>. صرفنظر از عبارت‌پردازی خاص قوانین ملی که اشاره متفاوتی به نظم عمومی بین‌المللی با توسل به هنجارهای ملی دار</w:t>
      </w:r>
      <w:r>
        <w:rPr>
          <w:rFonts w:hint="cs"/>
          <w:rtl/>
          <w:lang w:bidi="fa-IR"/>
        </w:rPr>
        <w:t>ن</w:t>
      </w:r>
      <w:r w:rsidRPr="00906789">
        <w:rPr>
          <w:rFonts w:hint="cs"/>
          <w:rtl/>
          <w:lang w:bidi="fa-IR"/>
        </w:rPr>
        <w:t>د، دادگاه‌های شماری از کشورها نیز اظهار داشته‌اند که مفهوم مضیق نظم عمومی را اعمال می‌کنند.</w:t>
      </w:r>
      <w:r>
        <w:rPr>
          <w:rFonts w:hint="cs"/>
          <w:rtl/>
          <w:lang w:bidi="fa-IR"/>
        </w:rPr>
        <w:t xml:space="preserve"> اما</w:t>
      </w:r>
      <w:r w:rsidRPr="00906789">
        <w:rPr>
          <w:rFonts w:hint="cs"/>
          <w:rtl/>
          <w:lang w:bidi="fa-IR"/>
        </w:rPr>
        <w:t xml:space="preserve"> قانون متحدالشکل اوهادا</w:t>
      </w:r>
      <w:r w:rsidRPr="00906789">
        <w:rPr>
          <w:rStyle w:val="FootnoteReference"/>
          <w:rtl/>
          <w:lang w:bidi="fa-IR"/>
        </w:rPr>
        <w:footnoteReference w:id="157"/>
      </w:r>
      <w:r w:rsidRPr="00906789">
        <w:rPr>
          <w:rFonts w:hint="cs"/>
          <w:rtl/>
          <w:lang w:bidi="fa-IR"/>
        </w:rPr>
        <w:t xml:space="preserve"> در تلاش برای هماهنگ سازی مفهوم نظم عمومی</w:t>
      </w:r>
      <w:r>
        <w:rPr>
          <w:rFonts w:hint="cs"/>
          <w:rtl/>
          <w:lang w:bidi="fa-IR"/>
        </w:rPr>
        <w:t xml:space="preserve"> بین‌المللی در میان کشورهای عضو، منحصر به فرد است</w:t>
      </w:r>
      <w:r w:rsidRPr="00906789">
        <w:rPr>
          <w:rFonts w:hint="cs"/>
          <w:rtl/>
          <w:lang w:bidi="fa-IR"/>
        </w:rPr>
        <w:t>.</w:t>
      </w:r>
    </w:p>
    <w:p w:rsidR="003602AD" w:rsidRPr="00A63C93" w:rsidRDefault="003602AD" w:rsidP="004C2DA3">
      <w:pPr>
        <w:bidi/>
        <w:ind w:firstLine="360"/>
        <w:jc w:val="mediumKashida"/>
        <w:rPr>
          <w:sz w:val="32"/>
          <w:szCs w:val="32"/>
          <w:rtl/>
          <w:lang w:bidi="fa-IR"/>
        </w:rPr>
      </w:pPr>
    </w:p>
    <w:p w:rsidR="003602AD" w:rsidRDefault="003602AD" w:rsidP="000A47F6">
      <w:pPr>
        <w:pStyle w:val="Heading3"/>
        <w:rPr>
          <w:rtl/>
        </w:rPr>
      </w:pPr>
      <w:bookmarkStart w:id="25" w:name="_Toc397212652"/>
      <w:r>
        <w:rPr>
          <w:rFonts w:hint="cs"/>
          <w:rtl/>
        </w:rPr>
        <w:t xml:space="preserve">2-1) </w:t>
      </w:r>
      <w:r w:rsidRPr="00ED6A2B">
        <w:rPr>
          <w:rFonts w:hint="cs"/>
          <w:rtl/>
        </w:rPr>
        <w:t>کنوانسیون نیویورک 1958</w:t>
      </w:r>
      <w:bookmarkEnd w:id="25"/>
    </w:p>
    <w:p w:rsidR="00E00C7D" w:rsidRPr="00E00C7D" w:rsidRDefault="00E00C7D" w:rsidP="004C2DA3">
      <w:pPr>
        <w:bidi/>
        <w:ind w:firstLine="360"/>
        <w:rPr>
          <w:rtl/>
          <w:lang w:bidi="fa-IR"/>
        </w:rPr>
      </w:pPr>
    </w:p>
    <w:p w:rsidR="003602AD" w:rsidRPr="00906789" w:rsidRDefault="003602AD" w:rsidP="004C2DA3">
      <w:pPr>
        <w:bidi/>
        <w:ind w:firstLine="360"/>
        <w:jc w:val="mediumKashida"/>
        <w:rPr>
          <w:rFonts w:cs="Times New Roman"/>
          <w:rtl/>
          <w:lang w:bidi="fa-IR"/>
        </w:rPr>
      </w:pPr>
      <w:r w:rsidRPr="00906789">
        <w:rPr>
          <w:rFonts w:hint="cs"/>
          <w:rtl/>
          <w:lang w:bidi="fa-IR"/>
        </w:rPr>
        <w:lastRenderedPageBreak/>
        <w:t>کنوانسیون نیویورک از یک گزارش و پیش‌نویس اولیه در زمینه اجرای آ</w:t>
      </w:r>
      <w:r>
        <w:rPr>
          <w:rFonts w:hint="cs"/>
          <w:rtl/>
          <w:lang w:bidi="fa-IR"/>
        </w:rPr>
        <w:t>رای داوری بین‌المللی تشکیل یافت</w:t>
      </w:r>
      <w:r w:rsidRPr="00906789">
        <w:rPr>
          <w:rFonts w:hint="cs"/>
          <w:rtl/>
          <w:lang w:bidi="fa-IR"/>
        </w:rPr>
        <w:t xml:space="preserve"> که توسط اتاق بازرگانی بین‌المللی</w:t>
      </w:r>
      <w:r w:rsidRPr="00906789">
        <w:rPr>
          <w:rStyle w:val="FootnoteReference"/>
          <w:rtl/>
          <w:lang w:bidi="fa-IR"/>
        </w:rPr>
        <w:footnoteReference w:id="158"/>
      </w:r>
      <w:r w:rsidRPr="00906789">
        <w:rPr>
          <w:rFonts w:hint="cs"/>
          <w:rtl/>
          <w:lang w:bidi="fa-IR"/>
        </w:rPr>
        <w:t xml:space="preserve"> </w:t>
      </w:r>
      <w:r>
        <w:rPr>
          <w:rFonts w:hint="cs"/>
          <w:rtl/>
          <w:lang w:bidi="fa-IR"/>
        </w:rPr>
        <w:t xml:space="preserve">مهیا گشت. چرا که </w:t>
      </w:r>
      <w:r w:rsidRPr="00906789">
        <w:rPr>
          <w:rFonts w:hint="cs"/>
          <w:rtl/>
          <w:lang w:bidi="fa-IR"/>
        </w:rPr>
        <w:t>آن‌ها به این نتیجه رسیده بودند که نظام استقرار یافته به موجب کنوانسیون 1927 ژنو دیگر پاسخگوی نیازهای تجارت بین‌الملل نیست. شورای اجتماعی و اقتصادی سازمان ملل متحد</w:t>
      </w:r>
      <w:r w:rsidRPr="00906789">
        <w:rPr>
          <w:rStyle w:val="FootnoteReference"/>
          <w:rtl/>
          <w:lang w:bidi="fa-IR"/>
        </w:rPr>
        <w:footnoteReference w:id="159"/>
      </w:r>
      <w:r w:rsidRPr="00906789">
        <w:rPr>
          <w:rFonts w:hint="cs"/>
          <w:rtl/>
          <w:lang w:bidi="fa-IR"/>
        </w:rPr>
        <w:t xml:space="preserve"> به منظور آماده سازی پیش‌نویس کنوانسیون یک</w:t>
      </w:r>
      <w:r w:rsidRPr="00906789">
        <w:rPr>
          <w:rtl/>
          <w:lang w:bidi="fa-IR"/>
        </w:rPr>
        <w:t xml:space="preserve"> </w:t>
      </w:r>
      <w:r w:rsidRPr="00906789">
        <w:rPr>
          <w:rFonts w:hint="cs"/>
          <w:rtl/>
          <w:lang w:bidi="fa-IR"/>
        </w:rPr>
        <w:t>کمیته</w:t>
      </w:r>
      <w:r w:rsidRPr="00906789">
        <w:rPr>
          <w:rtl/>
          <w:lang w:bidi="fa-IR"/>
        </w:rPr>
        <w:t xml:space="preserve"> </w:t>
      </w:r>
      <w:r w:rsidRPr="00906789">
        <w:rPr>
          <w:rFonts w:hint="cs"/>
          <w:rtl/>
          <w:lang w:bidi="fa-IR"/>
        </w:rPr>
        <w:t xml:space="preserve">اختصاصی راه اندازی کرد. کمیته در </w:t>
      </w:r>
      <w:r w:rsidRPr="00501D29">
        <w:rPr>
          <w:rFonts w:hint="cs"/>
          <w:rtl/>
          <w:lang w:bidi="fa-IR"/>
        </w:rPr>
        <w:t>ابتدای کار مقرره‌ای را پیشنهاد نمود که اشاره به آرایی داشت که "آشکارا متناقض با نظم عمومی یا اصول اساسی حقوقی کشوری باشد که رأی درصدد اجرا در آن کشور است."</w:t>
      </w:r>
      <w:r>
        <w:rPr>
          <w:rFonts w:cs="Times New Roman" w:hint="cs"/>
          <w:rtl/>
          <w:lang w:bidi="fa-IR"/>
        </w:rPr>
        <w:t xml:space="preserve"> </w:t>
      </w:r>
      <w:r w:rsidRPr="00906789">
        <w:rPr>
          <w:rFonts w:hint="cs"/>
          <w:rtl/>
          <w:lang w:bidi="fa-IR"/>
        </w:rPr>
        <w:t>(بر طبق عبارت پردازی کنوانسیون ژنو). اگر چه این عبارت عینناً از کنوانسیون ژنو گرفته نشده بود.</w:t>
      </w:r>
      <w:r w:rsidRPr="00906789">
        <w:rPr>
          <w:rStyle w:val="FootnoteReference"/>
          <w:rtl/>
          <w:lang w:bidi="fa-IR"/>
        </w:rPr>
        <w:footnoteReference w:id="160"/>
      </w:r>
      <w:r w:rsidRPr="00906789">
        <w:rPr>
          <w:rFonts w:hint="cs"/>
          <w:rtl/>
          <w:lang w:bidi="fa-IR"/>
        </w:rPr>
        <w:t xml:space="preserve"> کمیته تهیه پیش‌نویس در گزارش خود اشاره کرد که با استفاده از عبارات آشکارا و اساسی</w:t>
      </w:r>
      <w:r>
        <w:rPr>
          <w:rFonts w:cs="Times New Roman"/>
          <w:lang w:bidi="fa-IR"/>
        </w:rPr>
        <w:t xml:space="preserve"> </w:t>
      </w:r>
      <w:r w:rsidRPr="00906789">
        <w:rPr>
          <w:rFonts w:hint="cs"/>
          <w:rtl/>
          <w:lang w:bidi="fa-IR"/>
        </w:rPr>
        <w:t>قصد داشته که اعمال مقرره مزبور را</w:t>
      </w:r>
      <w:r>
        <w:rPr>
          <w:rFonts w:hint="cs"/>
          <w:rtl/>
          <w:lang w:bidi="fa-IR"/>
        </w:rPr>
        <w:t xml:space="preserve"> محدود کند فقط</w:t>
      </w:r>
      <w:r w:rsidRPr="00906789">
        <w:rPr>
          <w:rFonts w:hint="cs"/>
          <w:rtl/>
          <w:lang w:bidi="fa-IR"/>
        </w:rPr>
        <w:t xml:space="preserve"> به مواردی که شناسایی یا اجرا </w:t>
      </w:r>
      <w:r w:rsidRPr="00906789">
        <w:rPr>
          <w:rFonts w:cs="Times New Roman" w:hint="cs"/>
          <w:rtl/>
          <w:lang w:bidi="fa-IR"/>
        </w:rPr>
        <w:t>"</w:t>
      </w:r>
      <w:r w:rsidRPr="00906789">
        <w:rPr>
          <w:rFonts w:hint="cs"/>
          <w:rtl/>
          <w:lang w:bidi="fa-IR"/>
        </w:rPr>
        <w:t>به طور مشخص در تعاض باشد با اصول اساسی از نظام حقوقی کشوری که رأی در آن‌جا مورد استناد واقع شده است</w:t>
      </w:r>
      <w:r>
        <w:rPr>
          <w:rFonts w:hint="cs"/>
          <w:rtl/>
          <w:lang w:bidi="fa-IR"/>
        </w:rPr>
        <w:t>.</w:t>
      </w:r>
      <w:r>
        <w:rPr>
          <w:rFonts w:cs="Times New Roman" w:hint="cs"/>
          <w:rtl/>
          <w:lang w:bidi="fa-IR"/>
        </w:rPr>
        <w:t>"</w:t>
      </w:r>
      <w:r w:rsidRPr="00906789">
        <w:rPr>
          <w:rStyle w:val="FootnoteReference"/>
          <w:rFonts w:cs="Times New Roman"/>
          <w:rtl/>
          <w:lang w:bidi="fa-IR"/>
        </w:rPr>
        <w:footnoteReference w:id="161"/>
      </w:r>
      <w:r w:rsidRPr="00906789">
        <w:rPr>
          <w:rFonts w:cs="Times New Roman" w:hint="cs"/>
          <w:rtl/>
          <w:lang w:bidi="fa-IR"/>
        </w:rPr>
        <w:t xml:space="preserve"> </w:t>
      </w:r>
    </w:p>
    <w:p w:rsidR="003602AD" w:rsidRPr="00906789" w:rsidRDefault="003602AD" w:rsidP="004C2DA3">
      <w:pPr>
        <w:bidi/>
        <w:ind w:firstLine="360"/>
        <w:jc w:val="mediumKashida"/>
        <w:rPr>
          <w:rtl/>
          <w:lang w:bidi="fa-IR"/>
        </w:rPr>
      </w:pPr>
      <w:r>
        <w:rPr>
          <w:rFonts w:hint="cs"/>
          <w:rtl/>
          <w:lang w:bidi="fa-IR"/>
        </w:rPr>
        <w:t xml:space="preserve">در </w:t>
      </w:r>
      <w:r w:rsidRPr="00906789">
        <w:rPr>
          <w:rFonts w:hint="cs"/>
          <w:rtl/>
          <w:lang w:bidi="fa-IR"/>
        </w:rPr>
        <w:t xml:space="preserve">ماده (ب)(2).5 به </w:t>
      </w:r>
      <w:r w:rsidRPr="00906789">
        <w:rPr>
          <w:rFonts w:cs="Times New Roman" w:hint="cs"/>
          <w:rtl/>
          <w:lang w:bidi="fa-IR"/>
        </w:rPr>
        <w:t>"</w:t>
      </w:r>
      <w:r w:rsidRPr="00906789">
        <w:rPr>
          <w:rFonts w:hint="cs"/>
          <w:rtl/>
          <w:lang w:bidi="fa-IR"/>
        </w:rPr>
        <w:t>نظم عمومی آن کشور</w:t>
      </w:r>
      <w:r w:rsidRPr="00906789">
        <w:rPr>
          <w:rFonts w:cs="Times New Roman" w:hint="cs"/>
          <w:rtl/>
          <w:lang w:bidi="fa-IR"/>
        </w:rPr>
        <w:t xml:space="preserve">" </w:t>
      </w:r>
      <w:r>
        <w:rPr>
          <w:rFonts w:hint="cs"/>
          <w:rtl/>
          <w:lang w:bidi="fa-IR"/>
        </w:rPr>
        <w:t>اشاره می‌شو</w:t>
      </w:r>
      <w:r w:rsidRPr="00906789">
        <w:rPr>
          <w:rFonts w:hint="cs"/>
          <w:rtl/>
          <w:lang w:bidi="fa-IR"/>
        </w:rPr>
        <w:t>د و عبارت اصول حقوقی در این ماده جای نمی‌گیرد. شایان ذکر است که تدوین‌</w:t>
      </w:r>
      <w:r>
        <w:rPr>
          <w:rFonts w:hint="cs"/>
          <w:rtl/>
          <w:lang w:bidi="fa-IR"/>
        </w:rPr>
        <w:t>کنندگان کنوانسیون نیویورک</w:t>
      </w:r>
      <w:r w:rsidRPr="00906789">
        <w:rPr>
          <w:rFonts w:hint="cs"/>
          <w:rtl/>
          <w:lang w:bidi="fa-IR"/>
        </w:rPr>
        <w:t xml:space="preserve"> به دنبال تلاش برای هماهنگ‌سازی معیار نظم عمومی در کلیه کشورها نبودند. به تعبیر دیگر آن‌ها قصد برقراری یک معیار مشترک بین‌المللی را نداشتند.</w:t>
      </w:r>
    </w:p>
    <w:p w:rsidR="003602AD" w:rsidRPr="00A63C93" w:rsidRDefault="003602AD" w:rsidP="004C2DA3">
      <w:pPr>
        <w:bidi/>
        <w:ind w:firstLine="360"/>
        <w:jc w:val="mediumKashida"/>
        <w:rPr>
          <w:b/>
          <w:bCs/>
          <w:sz w:val="32"/>
          <w:szCs w:val="32"/>
          <w:rtl/>
          <w:lang w:bidi="fa-IR"/>
        </w:rPr>
      </w:pPr>
    </w:p>
    <w:p w:rsidR="003602AD" w:rsidRDefault="003602AD" w:rsidP="000A47F6">
      <w:pPr>
        <w:pStyle w:val="Heading3"/>
        <w:rPr>
          <w:rtl/>
        </w:rPr>
      </w:pPr>
      <w:bookmarkStart w:id="26" w:name="_Toc397212653"/>
      <w:r>
        <w:rPr>
          <w:rFonts w:hint="cs"/>
          <w:rtl/>
        </w:rPr>
        <w:lastRenderedPageBreak/>
        <w:t xml:space="preserve">2-2) </w:t>
      </w:r>
      <w:r w:rsidRPr="00ED6A2B">
        <w:rPr>
          <w:rFonts w:hint="cs"/>
          <w:rtl/>
        </w:rPr>
        <w:t>قانون نمونه آنسیترال</w:t>
      </w:r>
      <w:bookmarkEnd w:id="26"/>
    </w:p>
    <w:p w:rsidR="00E00C7D" w:rsidRPr="00E00C7D" w:rsidRDefault="00E00C7D" w:rsidP="004C2DA3">
      <w:pPr>
        <w:bidi/>
        <w:ind w:firstLine="360"/>
        <w:rPr>
          <w:rtl/>
          <w:lang w:bidi="fa-IR"/>
        </w:rPr>
      </w:pPr>
    </w:p>
    <w:p w:rsidR="003602AD" w:rsidRPr="00906789" w:rsidRDefault="003602AD" w:rsidP="004C2DA3">
      <w:pPr>
        <w:bidi/>
        <w:ind w:firstLine="360"/>
        <w:jc w:val="mediumKashida"/>
        <w:rPr>
          <w:rtl/>
          <w:lang w:bidi="fa-IR"/>
        </w:rPr>
      </w:pPr>
      <w:r>
        <w:rPr>
          <w:rFonts w:hint="cs"/>
          <w:rtl/>
          <w:lang w:bidi="fa-IR"/>
        </w:rPr>
        <w:t xml:space="preserve">منشأ پیدایش </w:t>
      </w:r>
      <w:r w:rsidRPr="00906789">
        <w:rPr>
          <w:rFonts w:hint="cs"/>
          <w:rtl/>
          <w:lang w:bidi="fa-IR"/>
        </w:rPr>
        <w:t>قانو</w:t>
      </w:r>
      <w:r>
        <w:rPr>
          <w:rFonts w:hint="cs"/>
          <w:rtl/>
          <w:lang w:bidi="fa-IR"/>
        </w:rPr>
        <w:t>ن نمونه آنسیترال</w:t>
      </w:r>
      <w:r w:rsidRPr="00906789">
        <w:rPr>
          <w:rFonts w:hint="cs"/>
          <w:rtl/>
          <w:lang w:bidi="fa-IR"/>
        </w:rPr>
        <w:t xml:space="preserve"> درخواست ارائه شده در سال 1985 توسط کمیته مشورتی حقوقی آسیایی-آفریقایی</w:t>
      </w:r>
      <w:r>
        <w:rPr>
          <w:rFonts w:hint="cs"/>
          <w:rtl/>
          <w:lang w:bidi="fa-IR"/>
        </w:rPr>
        <w:t>؛</w:t>
      </w:r>
      <w:r w:rsidRPr="00906789">
        <w:rPr>
          <w:rFonts w:hint="cs"/>
          <w:rtl/>
          <w:lang w:bidi="fa-IR"/>
        </w:rPr>
        <w:t xml:space="preserve"> به منظور بررسی عملکرد کنوانسیون 1958 نیویورک، می‌باشد. کمیته ادعا کرد که فقدان رویکرد متحدالشکل دادگاه‌های ملی به اجرای آرا به صورت آشکار وجود دارد. دبیر کل آنسیترال از این ادعا نتیجه گرفت که هماهنگ سازی رویه اجرای حکم و کنترل قضایی آیین داوری توسط کشورها، ب</w:t>
      </w:r>
      <w:r>
        <w:rPr>
          <w:rFonts w:hint="cs"/>
          <w:rtl/>
          <w:lang w:bidi="fa-IR"/>
        </w:rPr>
        <w:t>ه طور مؤثرتری می‌تواند حاصل شود-</w:t>
      </w:r>
      <w:r w:rsidRPr="00906789">
        <w:rPr>
          <w:rFonts w:hint="cs"/>
          <w:rtl/>
          <w:lang w:bidi="fa-IR"/>
        </w:rPr>
        <w:t xml:space="preserve"> به موجب ترویج یک مدل یا قانون متحد</w:t>
      </w:r>
      <w:r>
        <w:rPr>
          <w:rFonts w:hint="cs"/>
          <w:rtl/>
          <w:lang w:bidi="fa-IR"/>
        </w:rPr>
        <w:t>الشکل- تا این‌که اقدامی</w:t>
      </w:r>
      <w:r w:rsidRPr="00906789">
        <w:rPr>
          <w:rFonts w:hint="cs"/>
          <w:rtl/>
          <w:lang w:bidi="fa-IR"/>
        </w:rPr>
        <w:t xml:space="preserve"> برای تجدید نظر در کنوانسیون نیویورک صورت بگیرد.</w:t>
      </w:r>
      <w:r w:rsidRPr="00906789">
        <w:rPr>
          <w:rStyle w:val="FootnoteReference"/>
          <w:rtl/>
          <w:lang w:bidi="fa-IR"/>
        </w:rPr>
        <w:footnoteReference w:id="162"/>
      </w:r>
    </w:p>
    <w:p w:rsidR="003602AD" w:rsidRPr="00906789" w:rsidRDefault="003602AD" w:rsidP="004C2DA3">
      <w:pPr>
        <w:bidi/>
        <w:ind w:firstLine="360"/>
        <w:jc w:val="mediumKashida"/>
        <w:rPr>
          <w:rtl/>
          <w:lang w:bidi="fa-IR"/>
        </w:rPr>
      </w:pPr>
      <w:r w:rsidRPr="00906789">
        <w:rPr>
          <w:rFonts w:hint="cs"/>
          <w:rtl/>
          <w:lang w:bidi="fa-IR"/>
        </w:rPr>
        <w:t>متن نهایی قانون نمونه آنسیترال در سال</w:t>
      </w:r>
      <w:r>
        <w:rPr>
          <w:rFonts w:hint="cs"/>
          <w:rtl/>
          <w:lang w:bidi="fa-IR"/>
        </w:rPr>
        <w:t xml:space="preserve"> 1985 تصویب شد. این قانون</w:t>
      </w:r>
      <w:r w:rsidRPr="00906789">
        <w:rPr>
          <w:rFonts w:hint="cs"/>
          <w:rtl/>
          <w:lang w:bidi="fa-IR"/>
        </w:rPr>
        <w:t xml:space="preserve"> نظم عمومی را به عنوان زمینه‌ای برای کنار گذاشتن رأی توسط دادگا‌ه‌ها در مقر داوری</w:t>
      </w:r>
      <w:r>
        <w:rPr>
          <w:rFonts w:hint="cs"/>
          <w:rtl/>
          <w:lang w:bidi="fa-IR"/>
        </w:rPr>
        <w:t xml:space="preserve"> </w:t>
      </w:r>
      <w:r w:rsidRPr="00906789">
        <w:rPr>
          <w:rFonts w:hint="cs"/>
          <w:rtl/>
          <w:lang w:bidi="fa-IR"/>
        </w:rPr>
        <w:t>(ماده 34)</w:t>
      </w:r>
      <w:r>
        <w:rPr>
          <w:rFonts w:hint="cs"/>
          <w:rtl/>
          <w:lang w:bidi="fa-IR"/>
        </w:rPr>
        <w:t xml:space="preserve"> مطرح و</w:t>
      </w:r>
      <w:r w:rsidRPr="00906789">
        <w:rPr>
          <w:rFonts w:hint="cs"/>
          <w:rtl/>
          <w:lang w:bidi="fa-IR"/>
        </w:rPr>
        <w:t xml:space="preserve"> همچنین آن را زمینه‌ای برای رد شناسایی و اجرای رأی خارجی</w:t>
      </w:r>
      <w:r>
        <w:rPr>
          <w:rFonts w:hint="cs"/>
          <w:rtl/>
          <w:lang w:bidi="fa-IR"/>
        </w:rPr>
        <w:t xml:space="preserve"> نیز</w:t>
      </w:r>
      <w:r w:rsidRPr="00906789">
        <w:rPr>
          <w:rFonts w:hint="cs"/>
          <w:rtl/>
          <w:lang w:bidi="fa-IR"/>
        </w:rPr>
        <w:t xml:space="preserve"> عنوان می‌کند(ماده 36). در واقع در این دو ماده</w:t>
      </w:r>
      <w:r>
        <w:rPr>
          <w:rFonts w:hint="cs"/>
          <w:rtl/>
          <w:lang w:bidi="fa-IR"/>
        </w:rPr>
        <w:t>، همان</w:t>
      </w:r>
      <w:r w:rsidRPr="00906789">
        <w:rPr>
          <w:rFonts w:hint="cs"/>
          <w:rtl/>
          <w:lang w:bidi="fa-IR"/>
        </w:rPr>
        <w:t xml:space="preserve"> ماده (2)5 از </w:t>
      </w:r>
      <w:r>
        <w:rPr>
          <w:rFonts w:hint="cs"/>
          <w:rtl/>
          <w:lang w:bidi="fa-IR"/>
        </w:rPr>
        <w:t>کنوانسیون نیویورک را منعکس نموده است</w:t>
      </w:r>
      <w:r w:rsidRPr="00906789">
        <w:rPr>
          <w:rFonts w:hint="cs"/>
          <w:rtl/>
          <w:lang w:bidi="fa-IR"/>
        </w:rPr>
        <w:t xml:space="preserve">. </w:t>
      </w:r>
    </w:p>
    <w:p w:rsidR="003602AD" w:rsidRPr="00A63C93" w:rsidRDefault="003602AD" w:rsidP="004C2DA3">
      <w:pPr>
        <w:bidi/>
        <w:ind w:firstLine="360"/>
        <w:jc w:val="mediumKashida"/>
        <w:rPr>
          <w:sz w:val="32"/>
          <w:szCs w:val="32"/>
          <w:rtl/>
          <w:lang w:bidi="fa-IR"/>
        </w:rPr>
      </w:pPr>
      <w:r>
        <w:rPr>
          <w:rFonts w:hint="cs"/>
          <w:rtl/>
          <w:lang w:bidi="fa-IR"/>
        </w:rPr>
        <w:t>در قانون نمونه نظم عمومی، در</w:t>
      </w:r>
      <w:r w:rsidRPr="00906789">
        <w:rPr>
          <w:rFonts w:hint="cs"/>
          <w:rtl/>
          <w:lang w:bidi="fa-IR"/>
        </w:rPr>
        <w:t xml:space="preserve"> میان مباحث مربوط به ماده (</w:t>
      </w:r>
      <w:r>
        <w:rPr>
          <w:rFonts w:hint="cs"/>
          <w:rtl/>
          <w:lang w:bidi="fa-IR"/>
        </w:rPr>
        <w:t>دو</w:t>
      </w:r>
      <w:r w:rsidRPr="00906789">
        <w:rPr>
          <w:rFonts w:hint="cs"/>
          <w:rtl/>
          <w:lang w:bidi="fa-IR"/>
        </w:rPr>
        <w:t>)(</w:t>
      </w:r>
      <w:r>
        <w:rPr>
          <w:rFonts w:hint="cs"/>
          <w:rtl/>
          <w:lang w:bidi="fa-IR"/>
        </w:rPr>
        <w:t>ب)(2)34 معنا نش</w:t>
      </w:r>
      <w:r w:rsidRPr="00906789">
        <w:rPr>
          <w:rFonts w:hint="cs"/>
          <w:rtl/>
          <w:lang w:bidi="fa-IR"/>
        </w:rPr>
        <w:t>د. نماینده انگلستان اظهار نگرانی کرد از این‌که نظم عمومی ممکن است همه موارد ب</w:t>
      </w:r>
      <w:r>
        <w:rPr>
          <w:rFonts w:hint="cs"/>
          <w:rtl/>
          <w:lang w:bidi="fa-IR"/>
        </w:rPr>
        <w:t>ی عدالتی شکلی را پوشش ندهد، به همان صورتی که</w:t>
      </w:r>
      <w:r w:rsidRPr="00906789">
        <w:rPr>
          <w:rFonts w:hint="cs"/>
          <w:rtl/>
          <w:lang w:bidi="fa-IR"/>
        </w:rPr>
        <w:t xml:space="preserve"> در رویه‌ی قضائی نظام حقوقی کامن‌لا درک شده است.به عنوان مثال آرای مخدوش به موجب تقلب، فساد</w:t>
      </w:r>
      <w:r w:rsidRPr="00A63C93">
        <w:rPr>
          <w:rFonts w:hint="cs"/>
          <w:sz w:val="32"/>
          <w:szCs w:val="32"/>
          <w:rtl/>
          <w:lang w:bidi="fa-IR"/>
        </w:rPr>
        <w:t xml:space="preserve"> </w:t>
      </w:r>
      <w:r w:rsidRPr="00A63C93">
        <w:rPr>
          <w:rFonts w:hint="cs"/>
          <w:sz w:val="32"/>
          <w:szCs w:val="32"/>
          <w:rtl/>
          <w:lang w:bidi="fa-IR"/>
        </w:rPr>
        <w:lastRenderedPageBreak/>
        <w:t xml:space="preserve">و </w:t>
      </w:r>
      <w:r w:rsidRPr="005D3301">
        <w:rPr>
          <w:rFonts w:hint="cs"/>
          <w:rtl/>
          <w:lang w:bidi="fa-IR"/>
        </w:rPr>
        <w:t>شهادت دروغ را ذکر کرد.</w:t>
      </w:r>
      <w:r w:rsidRPr="005D3301">
        <w:rPr>
          <w:rStyle w:val="FootnoteReference"/>
          <w:rtl/>
          <w:lang w:bidi="fa-IR"/>
        </w:rPr>
        <w:footnoteReference w:id="163"/>
      </w:r>
      <w:r w:rsidRPr="005D3301">
        <w:rPr>
          <w:rFonts w:hint="cs"/>
          <w:rtl/>
          <w:lang w:bidi="fa-IR"/>
        </w:rPr>
        <w:t xml:space="preserve"> تردیدهایی مطرح شده بود که آیا الزامات مربوط به رفتار برابر مندرج در (ماده 18) و دادن فرصت مقتضی به طرفین به منظور ارائه</w:t>
      </w:r>
      <w:r w:rsidRPr="00A63C93">
        <w:rPr>
          <w:rFonts w:hint="cs"/>
          <w:sz w:val="32"/>
          <w:szCs w:val="32"/>
          <w:rtl/>
          <w:lang w:bidi="fa-IR"/>
        </w:rPr>
        <w:t xml:space="preserve"> </w:t>
      </w:r>
      <w:r>
        <w:rPr>
          <w:rFonts w:hint="cs"/>
          <w:rtl/>
          <w:lang w:bidi="fa-IR"/>
        </w:rPr>
        <w:t>دلایلشان در رابطه با دعوی طرح شده،</w:t>
      </w:r>
      <w:r w:rsidRPr="005D3301">
        <w:rPr>
          <w:rFonts w:hint="cs"/>
          <w:rtl/>
          <w:lang w:bidi="fa-IR"/>
        </w:rPr>
        <w:t xml:space="preserve"> مندرج در (مواد 18 و (دو)(الف)(2)34) به اندازه کافی این موقعیت‌ها را پوشش می‌دهد. مباحث پیرامون تفاوت میان مفهوم نظم ع</w:t>
      </w:r>
      <w:r>
        <w:rPr>
          <w:rFonts w:hint="cs"/>
          <w:rtl/>
          <w:lang w:bidi="fa-IR"/>
        </w:rPr>
        <w:t>موی در حقوق کامن‌لا و حقوق رومی-</w:t>
      </w:r>
      <w:r w:rsidRPr="005D3301">
        <w:rPr>
          <w:rFonts w:hint="cs"/>
          <w:rtl/>
          <w:lang w:bidi="fa-IR"/>
        </w:rPr>
        <w:t>ژرمنی برجسته شد. نمایندگان کاندا و استرالیا اظهار داشتند که آن‌ها عبارت نظم عمومی در م</w:t>
      </w:r>
      <w:r>
        <w:rPr>
          <w:rFonts w:hint="cs"/>
          <w:rtl/>
          <w:lang w:bidi="fa-IR"/>
        </w:rPr>
        <w:t>عنای فرانسوی آن‌را</w:t>
      </w:r>
      <w:r w:rsidRPr="005D3301">
        <w:rPr>
          <w:rFonts w:hint="cs"/>
          <w:rtl/>
          <w:lang w:bidi="fa-IR"/>
        </w:rPr>
        <w:t xml:space="preserve"> به معنای محدود شده‌ی نظم عمومی در حقوق کامن‌لا</w:t>
      </w:r>
      <w:r>
        <w:rPr>
          <w:rFonts w:hint="cs"/>
          <w:rtl/>
          <w:lang w:bidi="fa-IR"/>
        </w:rPr>
        <w:t>، ترجیح می‌دهند</w:t>
      </w:r>
      <w:r w:rsidRPr="005D3301">
        <w:rPr>
          <w:rFonts w:hint="cs"/>
          <w:rtl/>
          <w:lang w:bidi="fa-IR"/>
        </w:rPr>
        <w:t>.اما در نهایت هر دو اصطلاح هم معنی در نظر گرفته شده است.</w:t>
      </w:r>
      <w:r w:rsidRPr="005D3301">
        <w:rPr>
          <w:rStyle w:val="FootnoteReference"/>
          <w:rtl/>
          <w:lang w:bidi="fa-IR"/>
        </w:rPr>
        <w:footnoteReference w:id="164"/>
      </w:r>
      <w:r w:rsidRPr="005D3301">
        <w:rPr>
          <w:lang w:bidi="fa-IR"/>
        </w:rPr>
        <w:t xml:space="preserve"> </w:t>
      </w:r>
    </w:p>
    <w:p w:rsidR="003602AD" w:rsidRPr="0018442A" w:rsidRDefault="003602AD" w:rsidP="004C2DA3">
      <w:pPr>
        <w:bidi/>
        <w:ind w:firstLine="360"/>
        <w:jc w:val="mediumKashida"/>
        <w:rPr>
          <w:rtl/>
          <w:lang w:bidi="fa-IR"/>
        </w:rPr>
      </w:pPr>
      <w:r w:rsidRPr="005D3301">
        <w:rPr>
          <w:rFonts w:hint="cs"/>
          <w:rtl/>
          <w:lang w:bidi="fa-IR"/>
        </w:rPr>
        <w:t>در نهایت تصیم بر این شد که لیست زمینه‌های کنار گذاشتن رأی را گسترش ندهند، اما این وضعیت باید در گزارش کمیسیون شرح داده شود. گزارش</w:t>
      </w:r>
      <w:r w:rsidRPr="005D3301">
        <w:rPr>
          <w:rtl/>
          <w:lang w:bidi="fa-IR"/>
        </w:rPr>
        <w:t xml:space="preserve"> </w:t>
      </w:r>
      <w:r>
        <w:rPr>
          <w:rFonts w:hint="cs"/>
          <w:rtl/>
          <w:lang w:bidi="fa-IR"/>
        </w:rPr>
        <w:t>بیان</w:t>
      </w:r>
      <w:r w:rsidRPr="005D3301">
        <w:rPr>
          <w:rtl/>
          <w:lang w:bidi="fa-IR"/>
        </w:rPr>
        <w:t xml:space="preserve"> </w:t>
      </w:r>
      <w:r w:rsidRPr="0018442A">
        <w:rPr>
          <w:rFonts w:hint="cs"/>
          <w:rtl/>
          <w:lang w:bidi="fa-IR"/>
        </w:rPr>
        <w:t>داشت</w:t>
      </w:r>
      <w:r w:rsidRPr="0018442A">
        <w:rPr>
          <w:rtl/>
          <w:lang w:bidi="fa-IR"/>
        </w:rPr>
        <w:t>:</w:t>
      </w:r>
    </w:p>
    <w:p w:rsidR="003602AD" w:rsidRPr="0018442A" w:rsidRDefault="003602AD" w:rsidP="004C2DA3">
      <w:pPr>
        <w:bidi/>
        <w:ind w:firstLine="360"/>
        <w:jc w:val="mediumKashida"/>
        <w:rPr>
          <w:sz w:val="24"/>
          <w:szCs w:val="24"/>
          <w:rtl/>
          <w:lang w:bidi="fa-IR"/>
        </w:rPr>
      </w:pPr>
      <w:r w:rsidRPr="0018442A">
        <w:rPr>
          <w:rFonts w:hint="cs"/>
          <w:sz w:val="24"/>
          <w:szCs w:val="24"/>
          <w:rtl/>
          <w:lang w:bidi="fa-IR"/>
        </w:rPr>
        <w:t>"این موضوع قابل درک بود که اصطلاح نظم عمومی مورد استفاده در کنوانسیون 1958 نیویورک و بسیاری از معاهدات دیگر اصول اساسی حقوق و عدالت در زمینه ماهوی و شکلی، هر دو را پوشش می‌دهند. بنابراین مواردی از قبیل فساد، ارتشاء، تقلب و موارد خطیر مشابه زمینه کنار گذاشتن رأی را فراهم می‌کنند."</w:t>
      </w:r>
      <w:r w:rsidRPr="0018442A">
        <w:rPr>
          <w:vertAlign w:val="superscript"/>
          <w:rtl/>
          <w:lang w:bidi="fa-IR"/>
        </w:rPr>
        <w:t xml:space="preserve"> </w:t>
      </w:r>
      <w:r w:rsidRPr="0018442A">
        <w:rPr>
          <w:vertAlign w:val="superscript"/>
          <w:rtl/>
          <w:lang w:bidi="fa-IR"/>
        </w:rPr>
        <w:footnoteReference w:id="165"/>
      </w:r>
    </w:p>
    <w:p w:rsidR="003602AD" w:rsidRPr="00906789" w:rsidRDefault="003602AD" w:rsidP="004C2DA3">
      <w:pPr>
        <w:bidi/>
        <w:ind w:firstLine="360"/>
        <w:jc w:val="mediumKashida"/>
        <w:rPr>
          <w:rtl/>
          <w:lang w:bidi="fa-IR"/>
        </w:rPr>
      </w:pPr>
      <w:r w:rsidRPr="00906789">
        <w:rPr>
          <w:rFonts w:hint="cs"/>
          <w:rtl/>
          <w:lang w:bidi="fa-IR"/>
        </w:rPr>
        <w:t>ماده 36 قانون نمونه آنسیترال همانند ماده (</w:t>
      </w:r>
      <w:r>
        <w:rPr>
          <w:rFonts w:hint="cs"/>
          <w:rtl/>
          <w:lang w:bidi="fa-IR"/>
        </w:rPr>
        <w:t>ب</w:t>
      </w:r>
      <w:r w:rsidRPr="00906789">
        <w:rPr>
          <w:rFonts w:hint="cs"/>
          <w:rtl/>
          <w:lang w:bidi="fa-IR"/>
        </w:rPr>
        <w:t xml:space="preserve">)(2)5 کنوانسیون نیویورک، به نظم عمومی کشوری که در آن درخواست اجرا شده اشاره دارد. در این قانون نیز، هیچ تلاش آشکاری برای هماهنگ سازی معنا یا کاربرد نظم عمومی وجود ندارد. </w:t>
      </w:r>
    </w:p>
    <w:p w:rsidR="003602AD" w:rsidRPr="00A63C93" w:rsidRDefault="003602AD" w:rsidP="004C2DA3">
      <w:pPr>
        <w:bidi/>
        <w:ind w:firstLine="360"/>
        <w:jc w:val="mediumKashida"/>
        <w:rPr>
          <w:sz w:val="32"/>
          <w:szCs w:val="32"/>
          <w:rtl/>
          <w:lang w:bidi="fa-IR"/>
        </w:rPr>
      </w:pPr>
    </w:p>
    <w:p w:rsidR="003602AD" w:rsidRDefault="003602AD" w:rsidP="000A47F6">
      <w:pPr>
        <w:pStyle w:val="Heading3"/>
        <w:rPr>
          <w:rtl/>
        </w:rPr>
      </w:pPr>
      <w:bookmarkStart w:id="27" w:name="_Toc397212654"/>
      <w:r>
        <w:rPr>
          <w:rFonts w:hint="cs"/>
          <w:rtl/>
        </w:rPr>
        <w:lastRenderedPageBreak/>
        <w:t xml:space="preserve">2-3) </w:t>
      </w:r>
      <w:r w:rsidRPr="00E32FD4">
        <w:rPr>
          <w:rFonts w:hint="cs"/>
          <w:rtl/>
        </w:rPr>
        <w:t>قانون متحدالشکل اوهادا</w:t>
      </w:r>
      <w:bookmarkEnd w:id="27"/>
    </w:p>
    <w:p w:rsidR="00E00C7D" w:rsidRPr="00E00C7D" w:rsidRDefault="00E00C7D" w:rsidP="004C2DA3">
      <w:pPr>
        <w:bidi/>
        <w:ind w:firstLine="360"/>
        <w:rPr>
          <w:rtl/>
          <w:lang w:bidi="fa-IR"/>
        </w:rPr>
      </w:pPr>
    </w:p>
    <w:p w:rsidR="003602AD" w:rsidRDefault="003602AD" w:rsidP="004C2DA3">
      <w:pPr>
        <w:bidi/>
        <w:ind w:firstLine="360"/>
        <w:jc w:val="mediumKashida"/>
        <w:rPr>
          <w:lang w:bidi="fa-IR"/>
        </w:rPr>
      </w:pPr>
      <w:r w:rsidRPr="00906789">
        <w:rPr>
          <w:rFonts w:hint="cs"/>
          <w:rtl/>
          <w:lang w:bidi="fa-IR"/>
        </w:rPr>
        <w:t xml:space="preserve">اوهادا به موجب معاهده مربوط به قوانین هماهنگ سازی در آفریقا در سال 1993 در پورت لوئیس منعقد شد. این معاهده به منظور پیوستن اعضای سازمان وحدت آفریقا بدان باز است. در سال 1999، شورای وزیران اوهادا یک قانون متحدالشکل داوری را تصویب کرد. ماده 31 این قانون مقرر می‌دارد که شناسایی و اجرا باید مورد امتناع واقع شود اگر </w:t>
      </w:r>
      <w:r w:rsidRPr="00906789">
        <w:rPr>
          <w:rFonts w:cs="Times New Roman" w:hint="cs"/>
          <w:rtl/>
          <w:lang w:bidi="fa-IR"/>
        </w:rPr>
        <w:t>"</w:t>
      </w:r>
      <w:r w:rsidRPr="00906789">
        <w:rPr>
          <w:rFonts w:hint="cs"/>
          <w:rtl/>
          <w:lang w:bidi="fa-IR"/>
        </w:rPr>
        <w:t xml:space="preserve">رأی </w:t>
      </w:r>
      <w:r>
        <w:rPr>
          <w:rFonts w:hint="cs"/>
          <w:rtl/>
          <w:lang w:bidi="fa-IR"/>
        </w:rPr>
        <w:t>به طور آشکار در تضاد باشد با</w:t>
      </w:r>
      <w:r w:rsidRPr="00906789">
        <w:rPr>
          <w:rFonts w:hint="cs"/>
          <w:rtl/>
          <w:lang w:bidi="fa-IR"/>
        </w:rPr>
        <w:t xml:space="preserve"> قاعده</w:t>
      </w:r>
      <w:r>
        <w:rPr>
          <w:rFonts w:hint="cs"/>
          <w:rtl/>
          <w:lang w:bidi="fa-IR"/>
        </w:rPr>
        <w:t>‌ای از</w:t>
      </w:r>
      <w:r w:rsidRPr="00906789">
        <w:rPr>
          <w:rFonts w:hint="cs"/>
          <w:rtl/>
          <w:lang w:bidi="fa-IR"/>
        </w:rPr>
        <w:t xml:space="preserve"> نظم عمومی کشورهای عضو</w:t>
      </w:r>
      <w:r w:rsidRPr="00906789">
        <w:rPr>
          <w:rFonts w:cs="Times New Roman" w:hint="cs"/>
          <w:rtl/>
          <w:lang w:bidi="fa-IR"/>
        </w:rPr>
        <w:t xml:space="preserve">". </w:t>
      </w:r>
      <w:r w:rsidRPr="00906789">
        <w:rPr>
          <w:rFonts w:hint="cs"/>
          <w:rtl/>
          <w:lang w:bidi="fa-IR"/>
        </w:rPr>
        <w:t xml:space="preserve">دادگاه مشترک عدالت و داوری که در آبیجان، پایتخت ساحل عاج </w:t>
      </w:r>
      <w:r>
        <w:rPr>
          <w:rFonts w:hint="cs"/>
          <w:rtl/>
          <w:lang w:bidi="fa-IR"/>
        </w:rPr>
        <w:t>مستقر است،</w:t>
      </w:r>
      <w:r w:rsidRPr="00906789">
        <w:rPr>
          <w:rFonts w:hint="cs"/>
          <w:rtl/>
          <w:lang w:bidi="fa-IR"/>
        </w:rPr>
        <w:t xml:space="preserve"> بر اعمال و تفسیر قوانین نظارت می‌کند. این امکان وجود دارد که رأیی که اجازه اجرا به </w:t>
      </w:r>
      <w:r>
        <w:rPr>
          <w:rFonts w:hint="cs"/>
          <w:rtl/>
          <w:lang w:bidi="fa-IR"/>
        </w:rPr>
        <w:t xml:space="preserve">آن داده نشده است در این دادگاه </w:t>
      </w:r>
      <w:r w:rsidRPr="00906789">
        <w:rPr>
          <w:rFonts w:hint="cs"/>
          <w:rtl/>
          <w:lang w:bidi="fa-IR"/>
        </w:rPr>
        <w:t>مورد تجدیدنظر خواهی قرار بگیرد. این اولین تلاش آشکار و مشخصی است که به منظور هماهنگ سازی نظم عمومی در میان چندین کشور مستقل صورت گرفته است.</w:t>
      </w:r>
      <w:r w:rsidRPr="00B4725C">
        <w:rPr>
          <w:rStyle w:val="FootnoteReference"/>
          <w:rFonts w:asciiTheme="minorHAnsi" w:hAnsiTheme="minorHAnsi"/>
          <w:rtl/>
          <w:lang w:bidi="fa-IR"/>
        </w:rPr>
        <w:footnoteReference w:id="166"/>
      </w:r>
    </w:p>
    <w:p w:rsidR="003602AD" w:rsidRDefault="003602AD" w:rsidP="004C2DA3">
      <w:pPr>
        <w:bidi/>
        <w:ind w:firstLine="360"/>
        <w:jc w:val="mediumKashida"/>
        <w:rPr>
          <w:rtl/>
          <w:lang w:bidi="fa-IR"/>
        </w:rPr>
      </w:pPr>
    </w:p>
    <w:p w:rsidR="00E00C7D" w:rsidRDefault="00E00C7D" w:rsidP="00C85CCC">
      <w:pPr>
        <w:bidi/>
        <w:jc w:val="mediumKashida"/>
        <w:rPr>
          <w:lang w:bidi="fa-IR"/>
        </w:rPr>
      </w:pPr>
    </w:p>
    <w:p w:rsidR="003602AD" w:rsidRDefault="003602AD" w:rsidP="000A47F6">
      <w:pPr>
        <w:pStyle w:val="Heading3"/>
        <w:rPr>
          <w:rtl/>
        </w:rPr>
      </w:pPr>
      <w:bookmarkStart w:id="28" w:name="_Toc397212655"/>
      <w:r>
        <w:rPr>
          <w:rFonts w:hint="cs"/>
          <w:rtl/>
        </w:rPr>
        <w:t xml:space="preserve">2-4) </w:t>
      </w:r>
      <w:r w:rsidRPr="00E32FD4">
        <w:rPr>
          <w:rFonts w:hint="cs"/>
          <w:rtl/>
        </w:rPr>
        <w:t>دیگر کنوانسیون‌های بین‌المللی</w:t>
      </w:r>
      <w:bookmarkEnd w:id="28"/>
      <w:r w:rsidRPr="00E32FD4">
        <w:rPr>
          <w:rFonts w:hint="cs"/>
          <w:rtl/>
        </w:rPr>
        <w:t xml:space="preserve"> </w:t>
      </w:r>
    </w:p>
    <w:p w:rsidR="00E00C7D" w:rsidRPr="00E00C7D" w:rsidRDefault="00E00C7D" w:rsidP="004C2DA3">
      <w:pPr>
        <w:bidi/>
        <w:ind w:firstLine="360"/>
        <w:rPr>
          <w:rtl/>
          <w:lang w:bidi="fa-IR"/>
        </w:rPr>
      </w:pPr>
    </w:p>
    <w:p w:rsidR="003602AD" w:rsidRPr="00A63C93" w:rsidRDefault="003602AD" w:rsidP="004C2DA3">
      <w:pPr>
        <w:bidi/>
        <w:ind w:firstLine="360"/>
        <w:jc w:val="mediumKashida"/>
        <w:rPr>
          <w:sz w:val="32"/>
          <w:szCs w:val="32"/>
          <w:rtl/>
          <w:lang w:bidi="fa-IR"/>
        </w:rPr>
      </w:pPr>
      <w:r w:rsidRPr="005C2283">
        <w:rPr>
          <w:rFonts w:hint="cs"/>
          <w:rtl/>
          <w:lang w:bidi="fa-IR"/>
        </w:rPr>
        <w:t>یکی دیگر از</w:t>
      </w:r>
      <w:r>
        <w:rPr>
          <w:rFonts w:hint="cs"/>
          <w:rtl/>
          <w:lang w:bidi="fa-IR"/>
        </w:rPr>
        <w:t xml:space="preserve"> کنوانسیون‌های موجود در رابطه با اجرای آرای داوری</w:t>
      </w:r>
      <w:r w:rsidRPr="005C2283">
        <w:rPr>
          <w:rFonts w:hint="cs"/>
          <w:rtl/>
          <w:lang w:bidi="fa-IR"/>
        </w:rPr>
        <w:t>، کنوانسیون اجرای احکام داوری خارجی 1927 ژنو</w:t>
      </w:r>
      <w:r>
        <w:rPr>
          <w:rFonts w:hint="cs"/>
          <w:rtl/>
          <w:lang w:bidi="fa-IR"/>
        </w:rPr>
        <w:t xml:space="preserve"> می‌باشد که در مورد</w:t>
      </w:r>
      <w:r w:rsidRPr="005C2283">
        <w:rPr>
          <w:rFonts w:hint="cs"/>
          <w:rtl/>
          <w:lang w:bidi="fa-IR"/>
        </w:rPr>
        <w:t xml:space="preserve"> نظم عمومی اظهار </w:t>
      </w:r>
      <w:r w:rsidRPr="005C2283">
        <w:rPr>
          <w:rFonts w:hint="cs"/>
          <w:rtl/>
          <w:lang w:bidi="fa-IR"/>
        </w:rPr>
        <w:lastRenderedPageBreak/>
        <w:t>داشته که رأی قابل اجرا خواهد بود مگر "در تعارض با نظم عمومی یا اصول حقوقی کشوری باشد که</w:t>
      </w:r>
      <w:r>
        <w:rPr>
          <w:rFonts w:hint="cs"/>
          <w:rtl/>
          <w:lang w:bidi="fa-IR"/>
        </w:rPr>
        <w:t xml:space="preserve"> رأی به دنبال اجرا و اتکا در</w:t>
      </w:r>
      <w:r w:rsidRPr="005C2283">
        <w:rPr>
          <w:rFonts w:hint="cs"/>
          <w:rtl/>
          <w:lang w:bidi="fa-IR"/>
        </w:rPr>
        <w:t xml:space="preserve"> آن‌جا بوده است</w:t>
      </w:r>
      <w:r>
        <w:rPr>
          <w:rFonts w:hint="cs"/>
          <w:rtl/>
          <w:lang w:bidi="fa-IR"/>
        </w:rPr>
        <w:t>".(ماده</w:t>
      </w:r>
      <w:r w:rsidRPr="005C2283">
        <w:rPr>
          <w:rFonts w:hint="cs"/>
          <w:rtl/>
          <w:lang w:bidi="fa-IR"/>
        </w:rPr>
        <w:t>(</w:t>
      </w:r>
      <w:r>
        <w:rPr>
          <w:rFonts w:hint="cs"/>
          <w:rtl/>
          <w:lang w:bidi="fa-IR"/>
        </w:rPr>
        <w:t>ه</w:t>
      </w:r>
      <w:r w:rsidRPr="005C2283">
        <w:rPr>
          <w:rFonts w:hint="cs"/>
          <w:rtl/>
          <w:lang w:bidi="fa-IR"/>
        </w:rPr>
        <w:t>)1).</w:t>
      </w:r>
      <w:r w:rsidRPr="00BD018C">
        <w:rPr>
          <w:vertAlign w:val="superscript"/>
          <w:rtl/>
          <w:lang w:bidi="fa-IR"/>
        </w:rPr>
        <w:footnoteReference w:id="167"/>
      </w:r>
      <w:r w:rsidRPr="005C2283">
        <w:rPr>
          <w:rFonts w:hint="cs"/>
          <w:rtl/>
          <w:lang w:bidi="fa-IR"/>
        </w:rPr>
        <w:t xml:space="preserve"> همان‌طور که پیش‌تر ذکر شد عبارت اصول حقوقی از کنوانسیون نیویورک حذف شده است</w:t>
      </w:r>
      <w:r w:rsidRPr="00A63C93">
        <w:rPr>
          <w:rFonts w:hint="cs"/>
          <w:sz w:val="32"/>
          <w:szCs w:val="32"/>
          <w:rtl/>
          <w:lang w:bidi="fa-IR"/>
        </w:rPr>
        <w:t xml:space="preserve">. </w:t>
      </w:r>
    </w:p>
    <w:p w:rsidR="003602AD" w:rsidRPr="005C2283" w:rsidRDefault="003602AD" w:rsidP="004C2DA3">
      <w:pPr>
        <w:bidi/>
        <w:ind w:firstLine="360"/>
        <w:jc w:val="mediumKashida"/>
        <w:rPr>
          <w:rtl/>
          <w:lang w:bidi="fa-IR"/>
        </w:rPr>
      </w:pPr>
      <w:r w:rsidRPr="005C2283">
        <w:rPr>
          <w:rFonts w:hint="cs"/>
          <w:rtl/>
          <w:lang w:bidi="fa-IR"/>
        </w:rPr>
        <w:t>مورد بعدی کنوانسیون داوری تجاری بین‌المللی بین ملل آمریکایی 1975 پاناما می‌باشد</w:t>
      </w:r>
      <w:r>
        <w:rPr>
          <w:rFonts w:hint="cs"/>
          <w:rtl/>
          <w:lang w:bidi="fa-IR"/>
        </w:rPr>
        <w:t>،</w:t>
      </w:r>
      <w:r w:rsidRPr="005C2283">
        <w:rPr>
          <w:rFonts w:hint="cs"/>
          <w:rtl/>
          <w:lang w:bidi="fa-IR"/>
        </w:rPr>
        <w:t xml:space="preserve"> که توسط 15 کشور آمریکای لاتین و ایالات متحده آمریکا به تصویب رسیده است. این کنوانسیون از کنوانسیون</w:t>
      </w:r>
      <w:r>
        <w:rPr>
          <w:rFonts w:hint="cs"/>
          <w:rtl/>
          <w:lang w:bidi="fa-IR"/>
        </w:rPr>
        <w:t xml:space="preserve"> 1958 نیویورک الگوبرداری شده</w:t>
      </w:r>
      <w:r w:rsidRPr="005C2283">
        <w:rPr>
          <w:rFonts w:hint="cs"/>
          <w:rtl/>
          <w:lang w:bidi="fa-IR"/>
        </w:rPr>
        <w:t xml:space="preserve"> و به طور مشابه ا</w:t>
      </w:r>
      <w:r>
        <w:rPr>
          <w:rFonts w:hint="cs"/>
          <w:rtl/>
          <w:lang w:bidi="fa-IR"/>
        </w:rPr>
        <w:t>شاره به "نظم عمومی آن کشور" می‌کند.</w:t>
      </w:r>
      <w:r w:rsidRPr="00BD018C">
        <w:rPr>
          <w:vertAlign w:val="superscript"/>
          <w:rtl/>
          <w:lang w:bidi="fa-IR"/>
        </w:rPr>
        <w:footnoteReference w:id="168"/>
      </w:r>
      <w:r w:rsidRPr="005C2283">
        <w:rPr>
          <w:rFonts w:hint="cs"/>
          <w:rtl/>
          <w:lang w:bidi="fa-IR"/>
        </w:rPr>
        <w:t xml:space="preserve"> کنوانسیون 1979 مونتویدئو مربوط به اعتبار فراسرزمینی آرای داوری و احکام</w:t>
      </w:r>
      <w:r w:rsidRPr="00A63C93">
        <w:rPr>
          <w:rFonts w:hint="cs"/>
          <w:sz w:val="32"/>
          <w:szCs w:val="32"/>
          <w:rtl/>
          <w:lang w:bidi="fa-IR"/>
        </w:rPr>
        <w:t xml:space="preserve"> دادگا‌ه‌های </w:t>
      </w:r>
      <w:r w:rsidRPr="005C2283">
        <w:rPr>
          <w:rFonts w:hint="cs"/>
          <w:rtl/>
          <w:lang w:bidi="fa-IR"/>
        </w:rPr>
        <w:t>خارجی بین ملل آمریکایی پا را فراتر می‌گذارد، چرا که ضروری می‌داند که رأی "آشکارا مخالف با اصول و قواعد نظم عمومی کشور محل اجرا باشد" (ماده(</w:t>
      </w:r>
      <w:r>
        <w:rPr>
          <w:rFonts w:hint="cs"/>
          <w:rtl/>
          <w:lang w:bidi="fa-IR"/>
        </w:rPr>
        <w:t>ن</w:t>
      </w:r>
      <w:r w:rsidRPr="005C2283">
        <w:rPr>
          <w:rFonts w:hint="cs"/>
          <w:rtl/>
          <w:lang w:bidi="fa-IR"/>
        </w:rPr>
        <w:t>)2)</w:t>
      </w:r>
      <w:r>
        <w:rPr>
          <w:rFonts w:hint="cs"/>
          <w:rtl/>
          <w:lang w:bidi="fa-IR"/>
        </w:rPr>
        <w:t>.</w:t>
      </w:r>
      <w:r w:rsidRPr="00BD018C">
        <w:rPr>
          <w:vertAlign w:val="superscript"/>
          <w:rtl/>
          <w:lang w:bidi="fa-IR"/>
        </w:rPr>
        <w:footnoteReference w:id="169"/>
      </w:r>
    </w:p>
    <w:p w:rsidR="003602AD" w:rsidRPr="005C2283" w:rsidRDefault="003602AD" w:rsidP="004C2DA3">
      <w:pPr>
        <w:bidi/>
        <w:ind w:firstLine="360"/>
        <w:jc w:val="mediumKashida"/>
        <w:rPr>
          <w:rtl/>
          <w:lang w:bidi="fa-IR"/>
        </w:rPr>
      </w:pPr>
      <w:r w:rsidRPr="005C2283">
        <w:rPr>
          <w:rFonts w:hint="cs"/>
          <w:rtl/>
          <w:lang w:bidi="fa-IR"/>
        </w:rPr>
        <w:t>کنوانسیون ریاض 1983 راجع</w:t>
      </w:r>
      <w:r>
        <w:rPr>
          <w:rFonts w:hint="cs"/>
          <w:rtl/>
          <w:lang w:bidi="fa-IR"/>
        </w:rPr>
        <w:t xml:space="preserve"> </w:t>
      </w:r>
      <w:r w:rsidRPr="005C2283">
        <w:rPr>
          <w:rFonts w:hint="cs"/>
          <w:rtl/>
          <w:lang w:bidi="fa-IR"/>
        </w:rPr>
        <w:t>‌به همکاری قضایی میان کشورهای اتحادیه عرب</w:t>
      </w:r>
      <w:r>
        <w:rPr>
          <w:rFonts w:hint="cs"/>
          <w:rtl/>
          <w:lang w:bidi="fa-IR"/>
        </w:rPr>
        <w:t xml:space="preserve"> مقرر می‌دارد:</w:t>
      </w:r>
      <w:r w:rsidRPr="005C2283">
        <w:rPr>
          <w:rFonts w:hint="cs"/>
          <w:rtl/>
          <w:lang w:bidi="fa-IR"/>
        </w:rPr>
        <w:t xml:space="preserve"> اجرای رأی ممکن است مورد امتناع قرار گیرد اگر رأی </w:t>
      </w:r>
      <w:r w:rsidRPr="005C2283">
        <w:rPr>
          <w:rFonts w:cs="Times New Roman" w:hint="cs"/>
          <w:rtl/>
          <w:lang w:bidi="fa-IR"/>
        </w:rPr>
        <w:t>"</w:t>
      </w:r>
      <w:r w:rsidRPr="005C2283">
        <w:rPr>
          <w:rFonts w:hint="cs"/>
          <w:rtl/>
          <w:lang w:bidi="fa-IR"/>
        </w:rPr>
        <w:t>مخالفت داشته باشد با شریعت اسلام، نظم عمومی یا اخلاق حسنه</w:t>
      </w:r>
      <w:r w:rsidRPr="005C2283">
        <w:rPr>
          <w:rFonts w:cs="Times New Roman" w:hint="cs"/>
          <w:rtl/>
          <w:lang w:bidi="fa-IR"/>
        </w:rPr>
        <w:t>"</w:t>
      </w:r>
      <w:r w:rsidRPr="005C2283">
        <w:rPr>
          <w:rFonts w:hint="cs"/>
          <w:rtl/>
          <w:lang w:bidi="fa-IR"/>
        </w:rPr>
        <w:t xml:space="preserve"> کشور</w:t>
      </w:r>
      <w:r>
        <w:rPr>
          <w:rFonts w:hint="cs"/>
          <w:rtl/>
          <w:lang w:bidi="fa-IR"/>
        </w:rPr>
        <w:t xml:space="preserve">ی که در آن اجرا </w:t>
      </w:r>
      <w:r>
        <w:rPr>
          <w:rFonts w:hint="cs"/>
          <w:rtl/>
          <w:lang w:bidi="fa-IR"/>
        </w:rPr>
        <w:lastRenderedPageBreak/>
        <w:t>مورد درخواست واقع</w:t>
      </w:r>
      <w:r w:rsidRPr="005C2283">
        <w:rPr>
          <w:rFonts w:hint="cs"/>
          <w:rtl/>
          <w:lang w:bidi="fa-IR"/>
        </w:rPr>
        <w:t xml:space="preserve"> شده است</w:t>
      </w:r>
      <w:r>
        <w:rPr>
          <w:rFonts w:hint="cs"/>
          <w:rtl/>
          <w:lang w:bidi="fa-IR"/>
        </w:rPr>
        <w:t xml:space="preserve"> (ماده 37).</w:t>
      </w:r>
      <w:r w:rsidRPr="00E51633">
        <w:rPr>
          <w:vertAlign w:val="superscript"/>
          <w:rtl/>
          <w:lang w:bidi="fa-IR"/>
        </w:rPr>
        <w:footnoteReference w:id="170"/>
      </w:r>
      <w:r w:rsidRPr="005C2283">
        <w:rPr>
          <w:rFonts w:hint="cs"/>
          <w:rtl/>
          <w:lang w:bidi="fa-IR"/>
        </w:rPr>
        <w:t xml:space="preserve"> کنوانسیون امّان 1987 در مورد اجرای آرای داوری اتحادیه عرب صرفاً به </w:t>
      </w:r>
      <w:r w:rsidRPr="005C2283">
        <w:rPr>
          <w:rFonts w:cs="Times New Roman" w:hint="cs"/>
          <w:rtl/>
          <w:lang w:bidi="fa-IR"/>
        </w:rPr>
        <w:t>"</w:t>
      </w:r>
      <w:r w:rsidRPr="005C2283">
        <w:rPr>
          <w:rFonts w:hint="cs"/>
          <w:rtl/>
          <w:lang w:bidi="fa-IR"/>
        </w:rPr>
        <w:t>نظم عمومی</w:t>
      </w:r>
      <w:r w:rsidRPr="005C2283">
        <w:rPr>
          <w:rFonts w:cs="Times New Roman" w:hint="cs"/>
          <w:rtl/>
          <w:lang w:bidi="fa-IR"/>
        </w:rPr>
        <w:t>"</w:t>
      </w:r>
      <w:r w:rsidRPr="005C2283">
        <w:rPr>
          <w:rFonts w:hint="cs"/>
          <w:rtl/>
          <w:lang w:bidi="fa-IR"/>
        </w:rPr>
        <w:t xml:space="preserve"> اشاره می‌کند.</w:t>
      </w:r>
      <w:r w:rsidRPr="00E51633">
        <w:rPr>
          <w:vertAlign w:val="superscript"/>
          <w:rtl/>
          <w:lang w:bidi="fa-IR"/>
        </w:rPr>
        <w:footnoteReference w:id="171"/>
      </w:r>
      <w:r w:rsidRPr="005C2283">
        <w:rPr>
          <w:rFonts w:hint="cs"/>
          <w:rtl/>
          <w:lang w:bidi="fa-IR"/>
        </w:rPr>
        <w:t xml:space="preserve"> </w:t>
      </w:r>
    </w:p>
    <w:p w:rsidR="003602AD" w:rsidRDefault="003602AD" w:rsidP="004C2DA3">
      <w:pPr>
        <w:bidi/>
        <w:ind w:firstLine="360"/>
        <w:jc w:val="mediumKashida"/>
        <w:rPr>
          <w:rtl/>
          <w:lang w:bidi="fa-IR"/>
        </w:rPr>
      </w:pPr>
      <w:r w:rsidRPr="005C2283">
        <w:rPr>
          <w:rFonts w:hint="cs"/>
          <w:rtl/>
          <w:lang w:bidi="fa-IR"/>
        </w:rPr>
        <w:t>کنوانسیون 1965 واشنگتن (ایکسید)</w:t>
      </w:r>
      <w:r w:rsidRPr="005C2283">
        <w:rPr>
          <w:rStyle w:val="FootnoteReference"/>
          <w:rtl/>
          <w:lang w:bidi="fa-IR"/>
        </w:rPr>
        <w:footnoteReference w:id="172"/>
      </w:r>
      <w:r w:rsidRPr="005C2283">
        <w:rPr>
          <w:rFonts w:hint="cs"/>
          <w:rtl/>
          <w:lang w:bidi="fa-IR"/>
        </w:rPr>
        <w:t xml:space="preserve"> صریحاً به نظم عمومی اشاره نمی‌کند. در ماده 52 این کنوانسیون مجموعه‌ای از زمینه‌های مختلف برای ابطال آمده است که عبارتند از: فساد در بخشی از شعب دیوان؛ انحراف جدی از یک قاعده اساسی آیین دادرسی؛ تقلب در بیان دلایلی که رأی مبتنی بر آن صادر شده است. مورد اول و دوم به طور کلی داخل در دامنه نظم عمومی بین‌المللی قرار می‌گیرند. اجرای رأی ایکسید نمی‌تواند در دادگاه‌های کشور محل اجرا مورد چالش قرار گیرد جز در زمینه‌های مربوط به مصونیت دولت. دیوان عالی کشور فرانسه در پرونده </w:t>
      </w:r>
      <w:r w:rsidR="00406D2E">
        <w:rPr>
          <w:rFonts w:hint="cs"/>
          <w:rtl/>
          <w:lang w:bidi="fa-IR"/>
        </w:rPr>
        <w:t>(اس او آ بی آی مقابل</w:t>
      </w:r>
      <w:r>
        <w:rPr>
          <w:rFonts w:hint="cs"/>
          <w:rtl/>
          <w:lang w:bidi="fa-IR"/>
        </w:rPr>
        <w:t xml:space="preserve"> سنگال) </w:t>
      </w:r>
      <w:r w:rsidRPr="005C2283">
        <w:rPr>
          <w:rFonts w:hint="cs"/>
          <w:rtl/>
          <w:lang w:bidi="fa-IR"/>
        </w:rPr>
        <w:t>با صراحت تایید کرده که نظم عمومی (بین‌المللی و غیر آن) موضوعی نیست که قاضی، زمانی که با اجرای آرای ایکسید مواجه است،</w:t>
      </w:r>
      <w:r w:rsidRPr="005C2283">
        <w:rPr>
          <w:rFonts w:hint="cs"/>
          <w:rtl/>
        </w:rPr>
        <w:t xml:space="preserve"> می‌</w:t>
      </w:r>
      <w:r w:rsidRPr="005C2283">
        <w:rPr>
          <w:rFonts w:hint="cs"/>
          <w:rtl/>
          <w:lang w:bidi="fa-IR"/>
        </w:rPr>
        <w:t>بایست</w:t>
      </w:r>
      <w:r w:rsidRPr="005C2283">
        <w:rPr>
          <w:rtl/>
          <w:lang w:bidi="fa-IR"/>
        </w:rPr>
        <w:t xml:space="preserve"> </w:t>
      </w:r>
      <w:r w:rsidRPr="005C2283">
        <w:rPr>
          <w:rFonts w:hint="cs"/>
          <w:rtl/>
          <w:lang w:bidi="fa-IR"/>
        </w:rPr>
        <w:t>مدنظر</w:t>
      </w:r>
      <w:r w:rsidRPr="005C2283">
        <w:rPr>
          <w:rtl/>
          <w:lang w:bidi="fa-IR"/>
        </w:rPr>
        <w:t xml:space="preserve"> </w:t>
      </w:r>
      <w:r w:rsidRPr="005C2283">
        <w:rPr>
          <w:rFonts w:hint="cs"/>
          <w:rtl/>
          <w:lang w:bidi="fa-IR"/>
        </w:rPr>
        <w:t>قرار</w:t>
      </w:r>
      <w:r w:rsidRPr="005C2283">
        <w:rPr>
          <w:rtl/>
          <w:lang w:bidi="fa-IR"/>
        </w:rPr>
        <w:t xml:space="preserve"> </w:t>
      </w:r>
      <w:r w:rsidRPr="005C2283">
        <w:rPr>
          <w:rFonts w:hint="cs"/>
          <w:rtl/>
          <w:lang w:bidi="fa-IR"/>
        </w:rPr>
        <w:t>دهد.</w:t>
      </w:r>
      <w:r w:rsidRPr="005C2283">
        <w:rPr>
          <w:rStyle w:val="FootnoteReference"/>
          <w:rtl/>
          <w:lang w:bidi="fa-IR"/>
        </w:rPr>
        <w:footnoteReference w:id="173"/>
      </w:r>
      <w:r w:rsidRPr="005C2283">
        <w:rPr>
          <w:rFonts w:hint="cs"/>
          <w:rtl/>
          <w:lang w:bidi="fa-IR"/>
        </w:rPr>
        <w:t xml:space="preserve"> </w:t>
      </w:r>
    </w:p>
    <w:p w:rsidR="003602AD" w:rsidRDefault="003602AD" w:rsidP="004C2DA3">
      <w:pPr>
        <w:bidi/>
        <w:ind w:firstLine="360"/>
        <w:jc w:val="mediumKashida"/>
        <w:rPr>
          <w:rtl/>
          <w:lang w:bidi="fa-IR"/>
        </w:rPr>
      </w:pPr>
    </w:p>
    <w:p w:rsidR="003602AD" w:rsidRDefault="003602AD" w:rsidP="000A47F6">
      <w:pPr>
        <w:pStyle w:val="Heading3"/>
      </w:pPr>
      <w:bookmarkStart w:id="29" w:name="_Toc397212656"/>
      <w:r>
        <w:rPr>
          <w:rFonts w:hint="cs"/>
          <w:rtl/>
        </w:rPr>
        <w:t>2-5) قوانین ملی</w:t>
      </w:r>
      <w:bookmarkEnd w:id="29"/>
    </w:p>
    <w:p w:rsidR="00153D13" w:rsidRPr="00153D13" w:rsidRDefault="00153D13" w:rsidP="00153D13">
      <w:pPr>
        <w:bidi/>
        <w:rPr>
          <w:rtl/>
          <w:lang w:bidi="fa-IR"/>
        </w:rPr>
      </w:pPr>
    </w:p>
    <w:p w:rsidR="003602AD" w:rsidRPr="005C2283" w:rsidRDefault="003602AD" w:rsidP="004C2DA3">
      <w:pPr>
        <w:bidi/>
        <w:ind w:firstLine="360"/>
        <w:jc w:val="mediumKashida"/>
        <w:rPr>
          <w:rtl/>
          <w:lang w:bidi="fa-IR"/>
        </w:rPr>
      </w:pPr>
      <w:r w:rsidRPr="005C2283">
        <w:rPr>
          <w:rFonts w:hint="cs"/>
          <w:rtl/>
          <w:lang w:bidi="fa-IR"/>
        </w:rPr>
        <w:lastRenderedPageBreak/>
        <w:t>اصطلاحات به کار رفته در اشاره به نظم عمومی در قوانین ملی، به طور قابل توجهی</w:t>
      </w:r>
      <w:r>
        <w:rPr>
          <w:rFonts w:hint="cs"/>
          <w:rtl/>
          <w:lang w:bidi="fa-IR"/>
        </w:rPr>
        <w:t xml:space="preserve"> با هم تفاوت دارند</w:t>
      </w:r>
      <w:r w:rsidRPr="005C2283">
        <w:rPr>
          <w:rFonts w:hint="cs"/>
          <w:rtl/>
          <w:lang w:bidi="fa-IR"/>
        </w:rPr>
        <w:t>. دامنه این تفاوت‌ها از قید صریح نظم عمومی بین‌المللی تا اشاره به هنجارهای ملی گسترده</w:t>
      </w:r>
      <w:r>
        <w:rPr>
          <w:rFonts w:hint="cs"/>
          <w:rtl/>
          <w:lang w:bidi="fa-IR"/>
        </w:rPr>
        <w:t xml:space="preserve"> شده</w:t>
      </w:r>
      <w:r w:rsidRPr="005C2283">
        <w:rPr>
          <w:rFonts w:hint="cs"/>
          <w:rtl/>
          <w:lang w:bidi="fa-IR"/>
        </w:rPr>
        <w:t xml:space="preserve"> است. قوانین اجرای احکام در فرانسه</w:t>
      </w:r>
      <w:r w:rsidRPr="005C2283">
        <w:rPr>
          <w:rStyle w:val="FootnoteReference"/>
          <w:rtl/>
          <w:lang w:bidi="fa-IR"/>
        </w:rPr>
        <w:footnoteReference w:id="174"/>
      </w:r>
      <w:r w:rsidRPr="005C2283">
        <w:rPr>
          <w:rFonts w:hint="cs"/>
          <w:rtl/>
          <w:lang w:bidi="fa-IR"/>
        </w:rPr>
        <w:t>، پرتغال</w:t>
      </w:r>
      <w:r w:rsidRPr="005C2283">
        <w:rPr>
          <w:rStyle w:val="FootnoteReference"/>
          <w:rtl/>
          <w:lang w:bidi="fa-IR"/>
        </w:rPr>
        <w:footnoteReference w:id="175"/>
      </w:r>
      <w:r w:rsidRPr="005C2283">
        <w:rPr>
          <w:rFonts w:hint="cs"/>
          <w:rtl/>
          <w:lang w:bidi="fa-IR"/>
        </w:rPr>
        <w:t>، الجزایر</w:t>
      </w:r>
      <w:r w:rsidRPr="005C2283">
        <w:rPr>
          <w:rStyle w:val="FootnoteReference"/>
          <w:rtl/>
          <w:lang w:bidi="fa-IR"/>
        </w:rPr>
        <w:footnoteReference w:id="176"/>
      </w:r>
      <w:r w:rsidRPr="005C2283">
        <w:rPr>
          <w:rFonts w:hint="cs"/>
          <w:rtl/>
          <w:lang w:bidi="fa-IR"/>
        </w:rPr>
        <w:t xml:space="preserve"> و لبنان</w:t>
      </w:r>
      <w:r w:rsidRPr="005C2283">
        <w:rPr>
          <w:rStyle w:val="FootnoteReference"/>
          <w:rtl/>
          <w:lang w:bidi="fa-IR"/>
        </w:rPr>
        <w:footnoteReference w:id="177"/>
      </w:r>
      <w:r w:rsidRPr="005C2283">
        <w:rPr>
          <w:rFonts w:hint="cs"/>
          <w:rtl/>
          <w:lang w:bidi="fa-IR"/>
        </w:rPr>
        <w:t xml:space="preserve"> به "اصول </w:t>
      </w:r>
      <w:r>
        <w:rPr>
          <w:rFonts w:hint="cs"/>
          <w:rtl/>
          <w:lang w:bidi="fa-IR"/>
        </w:rPr>
        <w:t>نظم عمومی بین‌المللی" اشاره دارند.</w:t>
      </w:r>
      <w:r w:rsidRPr="005C2283">
        <w:rPr>
          <w:rFonts w:hint="cs"/>
          <w:rtl/>
          <w:lang w:bidi="fa-IR"/>
        </w:rPr>
        <w:t xml:space="preserve"> تمایز میان نظم عمومی قابل اعمال به احکام داخلی و خارجی در قوانین تونس</w:t>
      </w:r>
      <w:r>
        <w:rPr>
          <w:rFonts w:hint="cs"/>
          <w:rtl/>
          <w:lang w:bidi="fa-IR"/>
        </w:rPr>
        <w:t xml:space="preserve"> نیز نمایان است، چرا که اشاره</w:t>
      </w:r>
      <w:r w:rsidRPr="005C2283">
        <w:rPr>
          <w:rFonts w:hint="cs"/>
          <w:rtl/>
          <w:lang w:bidi="fa-IR"/>
        </w:rPr>
        <w:t xml:space="preserve"> به "نظم عمومی مستفاد در حقوق بین‌الملل خصوصی"</w:t>
      </w:r>
      <w:r>
        <w:rPr>
          <w:rFonts w:hint="cs"/>
          <w:rtl/>
          <w:lang w:bidi="fa-IR"/>
        </w:rPr>
        <w:t xml:space="preserve"> شده است</w:t>
      </w:r>
      <w:r w:rsidRPr="005C2283">
        <w:rPr>
          <w:rFonts w:hint="cs"/>
          <w:rtl/>
          <w:lang w:bidi="fa-IR"/>
        </w:rPr>
        <w:t>.</w:t>
      </w:r>
      <w:r w:rsidRPr="005C2283">
        <w:rPr>
          <w:rStyle w:val="FootnoteReference"/>
          <w:rtl/>
          <w:lang w:bidi="fa-IR"/>
        </w:rPr>
        <w:footnoteReference w:id="178"/>
      </w:r>
      <w:r w:rsidRPr="005C2283">
        <w:rPr>
          <w:rFonts w:hint="cs"/>
          <w:rtl/>
          <w:lang w:bidi="fa-IR"/>
        </w:rPr>
        <w:t xml:space="preserve"> در قوانین ر</w:t>
      </w:r>
      <w:r>
        <w:rPr>
          <w:rFonts w:hint="cs"/>
          <w:rtl/>
          <w:lang w:bidi="fa-IR"/>
        </w:rPr>
        <w:t>ومانی هم رویکرد مشابهی اتخاذ گردیده</w:t>
      </w:r>
      <w:r w:rsidRPr="005C2283">
        <w:rPr>
          <w:rFonts w:hint="cs"/>
          <w:rtl/>
          <w:lang w:bidi="fa-IR"/>
        </w:rPr>
        <w:t xml:space="preserve"> است.</w:t>
      </w:r>
      <w:r w:rsidRPr="005C2283">
        <w:rPr>
          <w:rStyle w:val="FootnoteReference"/>
          <w:rtl/>
          <w:lang w:bidi="fa-IR"/>
        </w:rPr>
        <w:footnoteReference w:id="179"/>
      </w:r>
    </w:p>
    <w:p w:rsidR="003602AD" w:rsidRPr="005C2283" w:rsidRDefault="003602AD" w:rsidP="004C2DA3">
      <w:pPr>
        <w:bidi/>
        <w:ind w:firstLine="360"/>
        <w:jc w:val="mediumKashida"/>
        <w:rPr>
          <w:rtl/>
          <w:lang w:bidi="fa-IR"/>
        </w:rPr>
      </w:pPr>
      <w:r w:rsidRPr="005C2283">
        <w:rPr>
          <w:rFonts w:hint="cs"/>
          <w:rtl/>
          <w:lang w:bidi="fa-IR"/>
        </w:rPr>
        <w:t>قوانین شماری از کشورها ص</w:t>
      </w:r>
      <w:r>
        <w:rPr>
          <w:rFonts w:hint="cs"/>
          <w:rtl/>
          <w:lang w:bidi="fa-IR"/>
        </w:rPr>
        <w:t>رفاً به نظم عمومی اشاره دارن</w:t>
      </w:r>
      <w:r w:rsidRPr="005C2283">
        <w:rPr>
          <w:rFonts w:hint="cs"/>
          <w:rtl/>
          <w:lang w:bidi="fa-IR"/>
        </w:rPr>
        <w:t xml:space="preserve">د. بیشتر کشورها به نظم عمومی "کشور </w:t>
      </w:r>
      <w:r w:rsidRPr="005C2283">
        <w:rPr>
          <w:lang w:bidi="fa-IR"/>
        </w:rPr>
        <w:t xml:space="preserve"> x</w:t>
      </w:r>
      <w:r w:rsidRPr="005C2283">
        <w:rPr>
          <w:rFonts w:hint="cs"/>
          <w:rtl/>
          <w:lang w:bidi="fa-IR"/>
        </w:rPr>
        <w:t>" که در عبارت پردازی کنوانسیون نیویورک و قانون ن</w:t>
      </w:r>
      <w:r>
        <w:rPr>
          <w:rFonts w:hint="cs"/>
          <w:rtl/>
          <w:lang w:bidi="fa-IR"/>
        </w:rPr>
        <w:t>مونه آنسیترال نیز هست، اشاره کرده‌ و</w:t>
      </w:r>
      <w:r w:rsidRPr="005C2283">
        <w:rPr>
          <w:rFonts w:hint="cs"/>
          <w:rtl/>
          <w:lang w:bidi="fa-IR"/>
        </w:rPr>
        <w:t xml:space="preserve"> گروهی دیگر از کشورها به سادگی کنوانسیون نیویورک را در این رابطه مورد پذیرش قرار داده‌اند.</w:t>
      </w:r>
    </w:p>
    <w:p w:rsidR="003602AD" w:rsidRPr="00A63C93" w:rsidRDefault="003602AD" w:rsidP="004C2DA3">
      <w:pPr>
        <w:bidi/>
        <w:ind w:firstLine="360"/>
        <w:jc w:val="mediumKashida"/>
        <w:rPr>
          <w:sz w:val="32"/>
          <w:szCs w:val="32"/>
          <w:rtl/>
          <w:lang w:bidi="fa-IR"/>
        </w:rPr>
      </w:pPr>
      <w:r>
        <w:rPr>
          <w:rFonts w:hint="cs"/>
          <w:rtl/>
          <w:lang w:bidi="fa-IR"/>
        </w:rPr>
        <w:t>برخی دیگر</w:t>
      </w:r>
      <w:r w:rsidRPr="005C2283">
        <w:rPr>
          <w:rFonts w:hint="cs"/>
          <w:rtl/>
          <w:lang w:bidi="fa-IR"/>
        </w:rPr>
        <w:t xml:space="preserve"> نظم عمومی</w:t>
      </w:r>
      <w:r>
        <w:rPr>
          <w:rFonts w:hint="cs"/>
          <w:rtl/>
          <w:lang w:bidi="fa-IR"/>
        </w:rPr>
        <w:t xml:space="preserve"> را به همراه اخلاق حسنه به کار برده‌ا</w:t>
      </w:r>
      <w:r w:rsidRPr="005C2283">
        <w:rPr>
          <w:rFonts w:hint="cs"/>
          <w:rtl/>
          <w:lang w:bidi="fa-IR"/>
        </w:rPr>
        <w:t>ند، برای مثال می‌توان از: ژاپن</w:t>
      </w:r>
      <w:r w:rsidRPr="005C2283">
        <w:rPr>
          <w:rStyle w:val="FootnoteReference"/>
          <w:rtl/>
          <w:lang w:bidi="fa-IR"/>
        </w:rPr>
        <w:footnoteReference w:id="180"/>
      </w:r>
      <w:r w:rsidRPr="005C2283">
        <w:rPr>
          <w:rFonts w:hint="cs"/>
          <w:rtl/>
          <w:lang w:bidi="fa-IR"/>
        </w:rPr>
        <w:t>، لیبی</w:t>
      </w:r>
      <w:r w:rsidRPr="005C2283">
        <w:rPr>
          <w:rStyle w:val="FootnoteReference"/>
          <w:rtl/>
          <w:lang w:bidi="fa-IR"/>
        </w:rPr>
        <w:footnoteReference w:id="181"/>
      </w:r>
      <w:r w:rsidRPr="005C2283">
        <w:rPr>
          <w:rFonts w:hint="cs"/>
          <w:rtl/>
          <w:lang w:bidi="fa-IR"/>
        </w:rPr>
        <w:t>، عمان</w:t>
      </w:r>
      <w:r w:rsidRPr="005C2283">
        <w:rPr>
          <w:rStyle w:val="FootnoteReference"/>
          <w:rtl/>
          <w:lang w:bidi="fa-IR"/>
        </w:rPr>
        <w:footnoteReference w:id="182"/>
      </w:r>
      <w:r w:rsidRPr="005C2283">
        <w:rPr>
          <w:rFonts w:hint="cs"/>
          <w:rtl/>
          <w:lang w:bidi="fa-IR"/>
        </w:rPr>
        <w:t>، قطر</w:t>
      </w:r>
      <w:r w:rsidRPr="005C2283">
        <w:rPr>
          <w:rStyle w:val="FootnoteReference"/>
          <w:rtl/>
          <w:lang w:bidi="fa-IR"/>
        </w:rPr>
        <w:footnoteReference w:id="183"/>
      </w:r>
      <w:r w:rsidRPr="005C2283">
        <w:rPr>
          <w:rFonts w:hint="cs"/>
          <w:rtl/>
          <w:lang w:bidi="fa-IR"/>
        </w:rPr>
        <w:t xml:space="preserve"> و امارات متحده عربی</w:t>
      </w:r>
      <w:r w:rsidRPr="005C2283">
        <w:rPr>
          <w:rStyle w:val="FootnoteReference"/>
          <w:rtl/>
          <w:lang w:bidi="fa-IR"/>
        </w:rPr>
        <w:footnoteReference w:id="184"/>
      </w:r>
      <w:r w:rsidRPr="005C2283">
        <w:rPr>
          <w:rFonts w:hint="cs"/>
          <w:rtl/>
          <w:lang w:bidi="fa-IR"/>
        </w:rPr>
        <w:t xml:space="preserve"> نام برد. یمن در این مورد به نظم عمومی و شریعت اسلام رجوع می‌کند.</w:t>
      </w:r>
      <w:r w:rsidRPr="005C2283">
        <w:rPr>
          <w:rStyle w:val="FootnoteReference"/>
          <w:rtl/>
          <w:lang w:bidi="fa-IR"/>
        </w:rPr>
        <w:footnoteReference w:id="185"/>
      </w:r>
      <w:r w:rsidRPr="005C2283">
        <w:rPr>
          <w:rFonts w:hint="cs"/>
          <w:rtl/>
          <w:lang w:bidi="fa-IR"/>
        </w:rPr>
        <w:t xml:space="preserve"> </w:t>
      </w:r>
    </w:p>
    <w:p w:rsidR="003602AD" w:rsidRPr="005C2283" w:rsidRDefault="003602AD" w:rsidP="004C2DA3">
      <w:pPr>
        <w:bidi/>
        <w:ind w:firstLine="360"/>
        <w:jc w:val="mediumKashida"/>
        <w:rPr>
          <w:rtl/>
          <w:lang w:bidi="fa-IR"/>
        </w:rPr>
      </w:pPr>
      <w:r>
        <w:rPr>
          <w:rFonts w:hint="cs"/>
          <w:rtl/>
          <w:lang w:bidi="fa-IR"/>
        </w:rPr>
        <w:lastRenderedPageBreak/>
        <w:t>گروهی</w:t>
      </w:r>
      <w:r w:rsidRPr="005C2283">
        <w:rPr>
          <w:rFonts w:hint="cs"/>
          <w:rtl/>
          <w:lang w:bidi="fa-IR"/>
        </w:rPr>
        <w:t xml:space="preserve"> </w:t>
      </w:r>
      <w:r w:rsidRPr="00DA16FD">
        <w:rPr>
          <w:rFonts w:hint="cs"/>
          <w:rtl/>
          <w:lang w:bidi="fa-IR"/>
        </w:rPr>
        <w:t>مستقیماً به نظم عمومی اشاره نمی‌کنند. برای مثال قانون اتریش یک تمایزی میان قوانین الزام‌آور و "اصول اساسی نظام حقوقی اتریش" قائل شده است.</w:t>
      </w:r>
      <w:r w:rsidRPr="00DA16FD">
        <w:rPr>
          <w:rStyle w:val="FootnoteReference"/>
          <w:rtl/>
          <w:lang w:bidi="fa-IR"/>
        </w:rPr>
        <w:footnoteReference w:id="186"/>
      </w:r>
      <w:r w:rsidRPr="00DA16FD">
        <w:rPr>
          <w:rFonts w:hint="cs"/>
          <w:rtl/>
          <w:lang w:bidi="fa-IR"/>
        </w:rPr>
        <w:t xml:space="preserve"> قانون سوئد مقرر می‌دارد که اجرای یک رأی خارجی ممکن است مورد امتناع واقع شود در جایی که دادگاه در‌یابد که "رأی آشکارا با مفاهیم اساسی نظام حقوقی سوئد در رابطه با شناسایی و اجرا ی احکام ناسازگار</w:t>
      </w:r>
      <w:r w:rsidRPr="00DA16FD">
        <w:rPr>
          <w:rtl/>
          <w:lang w:bidi="fa-IR"/>
        </w:rPr>
        <w:t xml:space="preserve"> </w:t>
      </w:r>
      <w:r w:rsidRPr="00DA16FD">
        <w:rPr>
          <w:rFonts w:hint="cs"/>
          <w:rtl/>
          <w:lang w:bidi="fa-IR"/>
        </w:rPr>
        <w:t>می‌باشد."</w:t>
      </w:r>
      <w:r w:rsidRPr="00DA16FD">
        <w:rPr>
          <w:rStyle w:val="FootnoteReference"/>
          <w:rtl/>
          <w:lang w:bidi="fa-IR"/>
        </w:rPr>
        <w:footnoteReference w:id="187"/>
      </w:r>
      <w:r w:rsidRPr="00DA16FD">
        <w:rPr>
          <w:rFonts w:hint="cs"/>
          <w:rtl/>
          <w:lang w:bidi="fa-IR"/>
        </w:rPr>
        <w:t xml:space="preserve"> </w:t>
      </w:r>
      <w:r>
        <w:rPr>
          <w:rFonts w:hint="cs"/>
          <w:rtl/>
          <w:lang w:bidi="fa-IR"/>
        </w:rPr>
        <w:t xml:space="preserve">در قانون لهستان بیان شده </w:t>
      </w:r>
      <w:r w:rsidRPr="00DA16FD">
        <w:rPr>
          <w:rFonts w:hint="cs"/>
          <w:rtl/>
          <w:lang w:bidi="fa-IR"/>
        </w:rPr>
        <w:t xml:space="preserve">که رأی </w:t>
      </w:r>
      <w:r>
        <w:rPr>
          <w:rFonts w:hint="cs"/>
          <w:rtl/>
          <w:lang w:bidi="fa-IR"/>
        </w:rPr>
        <w:t>به اجرا گذاشته نخواهد شد اگر "</w:t>
      </w:r>
      <w:r w:rsidRPr="00DA16FD">
        <w:rPr>
          <w:rFonts w:hint="cs"/>
          <w:rtl/>
          <w:lang w:bidi="fa-IR"/>
        </w:rPr>
        <w:t>ازاصول  قانونی بودن یا همزیستی اجتماعی</w:t>
      </w:r>
      <w:r w:rsidRPr="005C2283">
        <w:rPr>
          <w:rFonts w:hint="cs"/>
          <w:rtl/>
          <w:lang w:bidi="fa-IR"/>
        </w:rPr>
        <w:t xml:space="preserve"> در جمهوری خلق لهستان تخطی کند".</w:t>
      </w:r>
      <w:r w:rsidRPr="005C2283">
        <w:rPr>
          <w:rStyle w:val="FootnoteReference"/>
          <w:rtl/>
          <w:lang w:bidi="fa-IR"/>
        </w:rPr>
        <w:footnoteReference w:id="188"/>
      </w:r>
      <w:r w:rsidRPr="005C2283">
        <w:rPr>
          <w:rFonts w:hint="cs"/>
          <w:rtl/>
          <w:lang w:bidi="fa-IR"/>
        </w:rPr>
        <w:t xml:space="preserve"> دو تن از حقوقدانان</w:t>
      </w:r>
      <w:r>
        <w:rPr>
          <w:rFonts w:hint="cs"/>
          <w:rtl/>
          <w:lang w:bidi="fa-IR"/>
        </w:rPr>
        <w:t xml:space="preserve"> لهستانی در مورد این قانون اظهار</w:t>
      </w:r>
      <w:r w:rsidRPr="005C2283">
        <w:rPr>
          <w:rFonts w:hint="cs"/>
          <w:rtl/>
          <w:lang w:bidi="fa-IR"/>
        </w:rPr>
        <w:t xml:space="preserve"> داشته‌اند که "مقرراتی از این دست باید به صورت مضیق تفسیر و فقط در مورد تخلف از قواعد اولیه نظام حقوقی لهستان اعمال شوند".</w:t>
      </w:r>
      <w:r w:rsidRPr="005C2283">
        <w:rPr>
          <w:rStyle w:val="FootnoteReference"/>
          <w:rtl/>
          <w:lang w:bidi="fa-IR"/>
        </w:rPr>
        <w:footnoteReference w:id="189"/>
      </w:r>
    </w:p>
    <w:p w:rsidR="003602AD" w:rsidRPr="005C2283" w:rsidRDefault="003602AD" w:rsidP="004C2DA3">
      <w:pPr>
        <w:bidi/>
        <w:ind w:firstLine="360"/>
        <w:jc w:val="mediumKashida"/>
        <w:rPr>
          <w:rtl/>
          <w:lang w:bidi="fa-IR"/>
        </w:rPr>
      </w:pPr>
      <w:r w:rsidRPr="005C2283">
        <w:rPr>
          <w:rFonts w:hint="cs"/>
          <w:rtl/>
          <w:lang w:bidi="fa-IR"/>
        </w:rPr>
        <w:t>قانون جمهوری کره ضروری ‌دان</w:t>
      </w:r>
      <w:r>
        <w:rPr>
          <w:rFonts w:hint="cs"/>
          <w:rtl/>
          <w:lang w:bidi="fa-IR"/>
        </w:rPr>
        <w:t>سته که یک حکم</w:t>
      </w:r>
      <w:r w:rsidRPr="005C2283">
        <w:rPr>
          <w:rFonts w:hint="cs"/>
          <w:rtl/>
          <w:lang w:bidi="fa-IR"/>
        </w:rPr>
        <w:t xml:space="preserve"> خارجی برای اجرا در کره باید با "اخلاق حسنه و نظم اجتماعی کره سازگار باشد".</w:t>
      </w:r>
      <w:r w:rsidRPr="005C2283">
        <w:rPr>
          <w:rStyle w:val="FootnoteReference"/>
          <w:rtl/>
          <w:lang w:bidi="fa-IR"/>
        </w:rPr>
        <w:footnoteReference w:id="190"/>
      </w:r>
      <w:r w:rsidRPr="005C2283">
        <w:rPr>
          <w:rFonts w:hint="cs"/>
          <w:rtl/>
          <w:lang w:bidi="fa-IR"/>
        </w:rPr>
        <w:t xml:space="preserve"> یک حقوقدان کره‌ای در</w:t>
      </w:r>
      <w:r>
        <w:rPr>
          <w:rFonts w:hint="cs"/>
          <w:rtl/>
          <w:lang w:bidi="fa-IR"/>
        </w:rPr>
        <w:t xml:space="preserve"> تقسیر این مقرره بیان می‌دارد:</w:t>
      </w:r>
      <w:r w:rsidRPr="005C2283">
        <w:rPr>
          <w:rFonts w:hint="cs"/>
          <w:rtl/>
          <w:lang w:bidi="fa-IR"/>
        </w:rPr>
        <w:t xml:space="preserve"> "دامنه و ماهیت قواعد نظم عمومی کره بسیار شبیه به نظم عمومی بین‌المللی است</w:t>
      </w:r>
      <w:r>
        <w:rPr>
          <w:rFonts w:hint="cs"/>
          <w:rtl/>
          <w:lang w:bidi="fa-IR"/>
        </w:rPr>
        <w:t>.</w:t>
      </w:r>
      <w:r w:rsidRPr="005C2283">
        <w:rPr>
          <w:rFonts w:hint="cs"/>
          <w:rtl/>
          <w:lang w:bidi="fa-IR"/>
        </w:rPr>
        <w:t>"</w:t>
      </w:r>
      <w:r w:rsidRPr="005C2283">
        <w:rPr>
          <w:rStyle w:val="FootnoteReference"/>
          <w:rtl/>
          <w:lang w:bidi="fa-IR"/>
        </w:rPr>
        <w:footnoteReference w:id="191"/>
      </w:r>
      <w:r w:rsidRPr="005C2283">
        <w:rPr>
          <w:rFonts w:hint="cs"/>
          <w:rtl/>
          <w:lang w:bidi="fa-IR"/>
        </w:rPr>
        <w:t xml:space="preserve"> در چین، قانون</w:t>
      </w:r>
      <w:r>
        <w:rPr>
          <w:rFonts w:hint="cs"/>
          <w:rtl/>
          <w:lang w:bidi="fa-IR"/>
        </w:rPr>
        <w:t>گذار اشاره اذعان می‌دارد</w:t>
      </w:r>
      <w:r w:rsidRPr="005C2283">
        <w:rPr>
          <w:rFonts w:hint="cs"/>
          <w:rtl/>
          <w:lang w:bidi="fa-IR"/>
        </w:rPr>
        <w:t xml:space="preserve"> که اجرای رأی خارجی مورد انکار واقع می‌شود اگر "مغ</w:t>
      </w:r>
      <w:r>
        <w:rPr>
          <w:rFonts w:hint="cs"/>
          <w:rtl/>
          <w:lang w:bidi="fa-IR"/>
        </w:rPr>
        <w:t>ایر منافع عمومی و اجتماعی باشد."</w:t>
      </w:r>
      <w:r w:rsidRPr="005C2283">
        <w:rPr>
          <w:rStyle w:val="FootnoteReference"/>
          <w:rtl/>
          <w:lang w:bidi="fa-IR"/>
        </w:rPr>
        <w:footnoteReference w:id="192"/>
      </w:r>
      <w:r w:rsidRPr="005C2283">
        <w:rPr>
          <w:rFonts w:hint="cs"/>
          <w:rtl/>
          <w:lang w:bidi="fa-IR"/>
        </w:rPr>
        <w:t xml:space="preserve"> برخی از حقوقدانان چینی در تفسیر ق</w:t>
      </w:r>
      <w:r>
        <w:rPr>
          <w:rFonts w:hint="cs"/>
          <w:rtl/>
          <w:lang w:bidi="fa-IR"/>
        </w:rPr>
        <w:t>انون مذکور خاطر نشان می‌سازند:</w:t>
      </w:r>
      <w:r w:rsidRPr="005C2283">
        <w:rPr>
          <w:rFonts w:hint="cs"/>
          <w:rtl/>
          <w:lang w:bidi="fa-IR"/>
        </w:rPr>
        <w:t xml:space="preserve"> "منافع عمومی اجتماع (نظم عمومی)</w:t>
      </w:r>
      <w:r>
        <w:rPr>
          <w:rFonts w:hint="cs"/>
          <w:rtl/>
          <w:lang w:bidi="fa-IR"/>
        </w:rPr>
        <w:t xml:space="preserve"> در چین</w:t>
      </w:r>
      <w:r w:rsidRPr="005C2283">
        <w:rPr>
          <w:rFonts w:hint="cs"/>
          <w:rtl/>
          <w:lang w:bidi="fa-IR"/>
        </w:rPr>
        <w:t xml:space="preserve"> منوط به تفس</w:t>
      </w:r>
      <w:r>
        <w:rPr>
          <w:rFonts w:hint="cs"/>
          <w:rtl/>
          <w:lang w:bidi="fa-IR"/>
        </w:rPr>
        <w:t>یر مضیق است، در جایی که</w:t>
      </w:r>
      <w:r w:rsidRPr="005C2283">
        <w:rPr>
          <w:rFonts w:hint="cs"/>
          <w:rtl/>
          <w:lang w:bidi="fa-IR"/>
        </w:rPr>
        <w:t xml:space="preserve"> داوری داخلی و خار</w:t>
      </w:r>
      <w:r>
        <w:rPr>
          <w:rFonts w:hint="cs"/>
          <w:rtl/>
          <w:lang w:bidi="fa-IR"/>
        </w:rPr>
        <w:t>جی(بین‌المللی) در زمینه</w:t>
      </w:r>
      <w:r w:rsidRPr="005C2283">
        <w:rPr>
          <w:rFonts w:hint="cs"/>
          <w:rtl/>
          <w:lang w:bidi="fa-IR"/>
        </w:rPr>
        <w:t xml:space="preserve"> تجاری باشد. مفهوم نظم عمومی </w:t>
      </w:r>
      <w:r w:rsidRPr="005C2283">
        <w:rPr>
          <w:rFonts w:hint="cs"/>
          <w:rtl/>
          <w:lang w:bidi="fa-IR"/>
        </w:rPr>
        <w:lastRenderedPageBreak/>
        <w:t>بین‌المللی هنوز در تصمیمات دادگاه‌های چ</w:t>
      </w:r>
      <w:r>
        <w:rPr>
          <w:rFonts w:hint="cs"/>
          <w:rtl/>
          <w:lang w:bidi="fa-IR"/>
        </w:rPr>
        <w:t>ین بسط داده نشده است."</w:t>
      </w:r>
      <w:r w:rsidRPr="005C2283">
        <w:rPr>
          <w:rStyle w:val="FootnoteReference"/>
          <w:rtl/>
          <w:lang w:bidi="fa-IR"/>
        </w:rPr>
        <w:footnoteReference w:id="193"/>
      </w:r>
      <w:r w:rsidRPr="005C2283">
        <w:rPr>
          <w:rFonts w:hint="cs"/>
          <w:rtl/>
          <w:lang w:bidi="fa-IR"/>
        </w:rPr>
        <w:t xml:space="preserve"> در</w:t>
      </w:r>
      <w:r w:rsidRPr="005C2283">
        <w:rPr>
          <w:rtl/>
          <w:lang w:bidi="fa-IR"/>
        </w:rPr>
        <w:t xml:space="preserve"> </w:t>
      </w:r>
      <w:r w:rsidRPr="005C2283">
        <w:rPr>
          <w:rFonts w:hint="cs"/>
          <w:rtl/>
          <w:lang w:bidi="fa-IR"/>
        </w:rPr>
        <w:t>قانون</w:t>
      </w:r>
      <w:r w:rsidRPr="005C2283">
        <w:rPr>
          <w:rtl/>
          <w:lang w:bidi="fa-IR"/>
        </w:rPr>
        <w:t xml:space="preserve"> </w:t>
      </w:r>
      <w:r w:rsidRPr="005C2283">
        <w:rPr>
          <w:rFonts w:hint="cs"/>
          <w:rtl/>
          <w:lang w:bidi="fa-IR"/>
        </w:rPr>
        <w:t>برزیل</w:t>
      </w:r>
      <w:r w:rsidRPr="005C2283">
        <w:rPr>
          <w:rtl/>
          <w:lang w:bidi="fa-IR"/>
        </w:rPr>
        <w:t xml:space="preserve"> </w:t>
      </w:r>
      <w:r w:rsidRPr="005C2283">
        <w:rPr>
          <w:rFonts w:hint="cs"/>
          <w:rtl/>
          <w:lang w:bidi="fa-IR"/>
        </w:rPr>
        <w:t>این</w:t>
      </w:r>
      <w:r w:rsidRPr="005C2283">
        <w:rPr>
          <w:rtl/>
          <w:lang w:bidi="fa-IR"/>
        </w:rPr>
        <w:t xml:space="preserve"> </w:t>
      </w:r>
      <w:r w:rsidRPr="005C2283">
        <w:rPr>
          <w:rFonts w:hint="cs"/>
          <w:rtl/>
          <w:lang w:bidi="fa-IR"/>
        </w:rPr>
        <w:t>گونه</w:t>
      </w:r>
      <w:r w:rsidRPr="005C2283">
        <w:rPr>
          <w:rtl/>
          <w:lang w:bidi="fa-IR"/>
        </w:rPr>
        <w:t xml:space="preserve"> </w:t>
      </w:r>
      <w:r w:rsidRPr="005C2283">
        <w:rPr>
          <w:rFonts w:hint="cs"/>
          <w:rtl/>
          <w:lang w:bidi="fa-IR"/>
        </w:rPr>
        <w:t>ذکر</w:t>
      </w:r>
      <w:r w:rsidRPr="005C2283">
        <w:rPr>
          <w:rtl/>
          <w:lang w:bidi="fa-IR"/>
        </w:rPr>
        <w:t xml:space="preserve"> </w:t>
      </w:r>
      <w:r w:rsidRPr="005C2283">
        <w:rPr>
          <w:rFonts w:hint="cs"/>
          <w:rtl/>
          <w:lang w:bidi="fa-IR"/>
        </w:rPr>
        <w:t>شده</w:t>
      </w:r>
      <w:r w:rsidRPr="005C2283">
        <w:rPr>
          <w:rtl/>
          <w:lang w:bidi="fa-IR"/>
        </w:rPr>
        <w:t xml:space="preserve"> </w:t>
      </w:r>
      <w:r w:rsidRPr="005C2283">
        <w:rPr>
          <w:rFonts w:hint="cs"/>
          <w:rtl/>
          <w:lang w:bidi="fa-IR"/>
        </w:rPr>
        <w:t>که</w:t>
      </w:r>
      <w:r w:rsidRPr="005C2283">
        <w:rPr>
          <w:rtl/>
          <w:lang w:bidi="fa-IR"/>
        </w:rPr>
        <w:t xml:space="preserve"> </w:t>
      </w:r>
      <w:r w:rsidRPr="005C2283">
        <w:rPr>
          <w:rFonts w:hint="cs"/>
          <w:rtl/>
          <w:lang w:bidi="fa-IR"/>
        </w:rPr>
        <w:t>اجرای</w:t>
      </w:r>
      <w:r w:rsidRPr="005C2283">
        <w:rPr>
          <w:rtl/>
          <w:lang w:bidi="fa-IR"/>
        </w:rPr>
        <w:t xml:space="preserve"> </w:t>
      </w:r>
      <w:r w:rsidRPr="005C2283">
        <w:rPr>
          <w:rFonts w:hint="cs"/>
          <w:rtl/>
          <w:lang w:bidi="fa-IR"/>
        </w:rPr>
        <w:t>رأی</w:t>
      </w:r>
      <w:r>
        <w:rPr>
          <w:rFonts w:hint="cs"/>
          <w:rtl/>
          <w:lang w:bidi="fa-IR"/>
        </w:rPr>
        <w:t xml:space="preserve"> مورد</w:t>
      </w:r>
      <w:r w:rsidRPr="005C2283">
        <w:rPr>
          <w:rtl/>
          <w:lang w:bidi="fa-IR"/>
        </w:rPr>
        <w:t xml:space="preserve"> </w:t>
      </w:r>
      <w:r>
        <w:rPr>
          <w:rFonts w:hint="cs"/>
          <w:rtl/>
          <w:lang w:bidi="fa-IR"/>
        </w:rPr>
        <w:t>ممانعت واقع</w:t>
      </w:r>
      <w:r w:rsidRPr="005C2283">
        <w:rPr>
          <w:rtl/>
          <w:lang w:bidi="fa-IR"/>
        </w:rPr>
        <w:t xml:space="preserve"> </w:t>
      </w:r>
      <w:r w:rsidRPr="005C2283">
        <w:rPr>
          <w:rFonts w:hint="cs"/>
          <w:rtl/>
          <w:lang w:bidi="fa-IR"/>
        </w:rPr>
        <w:t>خواهد</w:t>
      </w:r>
      <w:r w:rsidRPr="005C2283">
        <w:rPr>
          <w:rtl/>
          <w:lang w:bidi="fa-IR"/>
        </w:rPr>
        <w:t xml:space="preserve"> </w:t>
      </w:r>
      <w:r w:rsidRPr="005C2283">
        <w:rPr>
          <w:rFonts w:hint="cs"/>
          <w:rtl/>
          <w:lang w:bidi="fa-IR"/>
        </w:rPr>
        <w:t>شد</w:t>
      </w:r>
      <w:r>
        <w:rPr>
          <w:rFonts w:hint="cs"/>
          <w:rtl/>
          <w:lang w:bidi="fa-IR"/>
        </w:rPr>
        <w:t>،</w:t>
      </w:r>
      <w:r w:rsidRPr="005C2283">
        <w:rPr>
          <w:rtl/>
          <w:lang w:bidi="fa-IR"/>
        </w:rPr>
        <w:t xml:space="preserve"> </w:t>
      </w:r>
      <w:r w:rsidRPr="005C2283">
        <w:rPr>
          <w:rFonts w:hint="cs"/>
          <w:rtl/>
          <w:lang w:bidi="fa-IR"/>
        </w:rPr>
        <w:t>اگر</w:t>
      </w:r>
      <w:r w:rsidRPr="005C2283">
        <w:rPr>
          <w:rtl/>
          <w:lang w:bidi="fa-IR"/>
        </w:rPr>
        <w:t xml:space="preserve"> "</w:t>
      </w:r>
      <w:r w:rsidRPr="005C2283">
        <w:rPr>
          <w:rFonts w:hint="cs"/>
          <w:rtl/>
          <w:lang w:bidi="fa-IR"/>
        </w:rPr>
        <w:t>حکم</w:t>
      </w:r>
      <w:r w:rsidRPr="005C2283">
        <w:rPr>
          <w:rtl/>
          <w:lang w:bidi="fa-IR"/>
        </w:rPr>
        <w:t xml:space="preserve"> </w:t>
      </w:r>
      <w:r w:rsidRPr="005C2283">
        <w:rPr>
          <w:rFonts w:hint="cs"/>
          <w:rtl/>
          <w:lang w:bidi="fa-IR"/>
        </w:rPr>
        <w:t>نسبت</w:t>
      </w:r>
      <w:r w:rsidRPr="005C2283">
        <w:rPr>
          <w:rtl/>
          <w:lang w:bidi="fa-IR"/>
        </w:rPr>
        <w:t xml:space="preserve"> </w:t>
      </w:r>
      <w:r w:rsidRPr="005C2283">
        <w:rPr>
          <w:rFonts w:hint="cs"/>
          <w:rtl/>
          <w:lang w:bidi="fa-IR"/>
        </w:rPr>
        <w:t>به</w:t>
      </w:r>
      <w:r w:rsidRPr="005C2283">
        <w:rPr>
          <w:rtl/>
          <w:lang w:bidi="fa-IR"/>
        </w:rPr>
        <w:t xml:space="preserve"> </w:t>
      </w:r>
      <w:r w:rsidRPr="005C2283">
        <w:rPr>
          <w:rFonts w:hint="cs"/>
          <w:rtl/>
          <w:lang w:bidi="fa-IR"/>
        </w:rPr>
        <w:t>نظم</w:t>
      </w:r>
      <w:r w:rsidRPr="005C2283">
        <w:rPr>
          <w:rtl/>
          <w:lang w:bidi="fa-IR"/>
        </w:rPr>
        <w:t xml:space="preserve"> </w:t>
      </w:r>
      <w:r w:rsidRPr="005C2283">
        <w:rPr>
          <w:rFonts w:hint="cs"/>
          <w:rtl/>
          <w:lang w:bidi="fa-IR"/>
        </w:rPr>
        <w:t>عمومی</w:t>
      </w:r>
      <w:r w:rsidRPr="005C2283">
        <w:rPr>
          <w:rtl/>
          <w:lang w:bidi="fa-IR"/>
        </w:rPr>
        <w:t xml:space="preserve"> </w:t>
      </w:r>
      <w:r w:rsidRPr="005C2283">
        <w:rPr>
          <w:rFonts w:hint="cs"/>
          <w:rtl/>
          <w:lang w:bidi="fa-IR"/>
        </w:rPr>
        <w:t>توهین‌آمیز</w:t>
      </w:r>
      <w:r>
        <w:rPr>
          <w:rFonts w:hint="cs"/>
          <w:rtl/>
          <w:lang w:bidi="fa-IR"/>
        </w:rPr>
        <w:t xml:space="preserve"> باشد.</w:t>
      </w:r>
      <w:r w:rsidRPr="005C2283">
        <w:rPr>
          <w:rtl/>
          <w:lang w:bidi="fa-IR"/>
        </w:rPr>
        <w:t>"</w:t>
      </w:r>
      <w:r w:rsidRPr="005C2283">
        <w:rPr>
          <w:rStyle w:val="FootnoteReference"/>
          <w:rtl/>
          <w:lang w:bidi="fa-IR"/>
        </w:rPr>
        <w:footnoteReference w:id="194"/>
      </w:r>
      <w:r w:rsidRPr="005C2283">
        <w:rPr>
          <w:rFonts w:hint="cs"/>
          <w:rtl/>
          <w:lang w:bidi="fa-IR"/>
        </w:rPr>
        <w:t xml:space="preserve"> برزیل به کنوانسیون نیویورک نپیوسته و مفهوم نظم عمومی بین‌المللی در آن کشور ناشناخته است.</w:t>
      </w:r>
      <w:r w:rsidRPr="005C2283">
        <w:rPr>
          <w:rStyle w:val="FootnoteReference"/>
          <w:rtl/>
          <w:lang w:bidi="fa-IR"/>
        </w:rPr>
        <w:footnoteReference w:id="195"/>
      </w:r>
    </w:p>
    <w:p w:rsidR="003602AD" w:rsidRPr="005C2283" w:rsidRDefault="003602AD" w:rsidP="004C2DA3">
      <w:pPr>
        <w:bidi/>
        <w:ind w:firstLine="360"/>
        <w:jc w:val="mediumKashida"/>
        <w:rPr>
          <w:rtl/>
          <w:lang w:bidi="fa-IR"/>
        </w:rPr>
      </w:pPr>
      <w:r w:rsidRPr="005C2283">
        <w:rPr>
          <w:rFonts w:hint="cs"/>
          <w:rtl/>
          <w:lang w:bidi="fa-IR"/>
        </w:rPr>
        <w:t>در مورد ایران ماده 34 قانون داوری تجاری بین‌المللی 1376 قابل ذکر</w:t>
      </w:r>
      <w:r>
        <w:rPr>
          <w:rFonts w:hint="cs"/>
          <w:rtl/>
          <w:lang w:bidi="fa-IR"/>
        </w:rPr>
        <w:t xml:space="preserve"> و توجه</w:t>
      </w:r>
      <w:r w:rsidRPr="005C2283">
        <w:rPr>
          <w:rFonts w:hint="cs"/>
          <w:rtl/>
          <w:lang w:bidi="fa-IR"/>
        </w:rPr>
        <w:t xml:space="preserve"> است. این ماده تح</w:t>
      </w:r>
      <w:r>
        <w:rPr>
          <w:rFonts w:hint="cs"/>
          <w:rtl/>
          <w:lang w:bidi="fa-IR"/>
        </w:rPr>
        <w:t>ت عنوان بطلان رأی سه مورد را مطرح نمود</w:t>
      </w:r>
      <w:r w:rsidRPr="005C2283">
        <w:rPr>
          <w:rFonts w:hint="cs"/>
          <w:rtl/>
          <w:lang w:bidi="fa-IR"/>
        </w:rPr>
        <w:t>ه که در آن موارد رأی داوری اساساً باطل و غیر قابل اجراست. بند 2 ماده مذکور که در رابطه با این بحث می‌باشد، بدین شرح است:</w:t>
      </w:r>
    </w:p>
    <w:p w:rsidR="003602AD" w:rsidRPr="00FA123F" w:rsidRDefault="003602AD" w:rsidP="004C2DA3">
      <w:pPr>
        <w:bidi/>
        <w:ind w:firstLine="360"/>
        <w:jc w:val="mediumKashida"/>
        <w:rPr>
          <w:sz w:val="24"/>
          <w:szCs w:val="24"/>
          <w:rtl/>
          <w:lang w:bidi="fa-IR"/>
        </w:rPr>
      </w:pPr>
      <w:r w:rsidRPr="00FA123F">
        <w:rPr>
          <w:rFonts w:hint="cs"/>
          <w:sz w:val="24"/>
          <w:szCs w:val="24"/>
          <w:rtl/>
          <w:lang w:bidi="fa-IR"/>
        </w:rPr>
        <w:t>"در صورتی که مفاد رأی مخالف با نظم عمومی یا اخلاق حسنه کشور و یا قواعد آمره این قانون باشد."</w:t>
      </w:r>
    </w:p>
    <w:p w:rsidR="003602AD" w:rsidRPr="005C2283" w:rsidRDefault="003602AD" w:rsidP="004C2DA3">
      <w:pPr>
        <w:bidi/>
        <w:ind w:firstLine="360"/>
        <w:jc w:val="mediumKashida"/>
        <w:rPr>
          <w:lang w:bidi="fa-IR"/>
        </w:rPr>
      </w:pPr>
      <w:r w:rsidRPr="005C2283">
        <w:rPr>
          <w:rFonts w:hint="cs"/>
          <w:rtl/>
          <w:lang w:bidi="fa-IR"/>
        </w:rPr>
        <w:t xml:space="preserve">در قانون ایران همان طور که ذکر شد علاوه بر نظم عمومی به اخلاق حسنه وقواعد آمره این قانون (منظور قانون داوری تجاری بین‌المللی است) اشاره شده است که می‌توان گفت این ماده اختلاطی از مفاد کنوانسیون نیویورک و قانون نمونه آنسیترال و کنوانسیون ژنو 1927 می‌باشد. </w:t>
      </w:r>
    </w:p>
    <w:p w:rsidR="003602AD" w:rsidRPr="005C2283" w:rsidRDefault="003602AD" w:rsidP="00153D13">
      <w:pPr>
        <w:bidi/>
        <w:jc w:val="mediumKashida"/>
        <w:rPr>
          <w:lang w:bidi="fa-IR"/>
        </w:rPr>
      </w:pPr>
    </w:p>
    <w:p w:rsidR="003602AD" w:rsidRDefault="003602AD" w:rsidP="000A47F6">
      <w:pPr>
        <w:pStyle w:val="Heading3"/>
      </w:pPr>
      <w:bookmarkStart w:id="30" w:name="_Toc397212657"/>
      <w:r>
        <w:rPr>
          <w:rFonts w:hint="cs"/>
          <w:rtl/>
        </w:rPr>
        <w:t xml:space="preserve">2-6) </w:t>
      </w:r>
      <w:r w:rsidRPr="00E32FD4">
        <w:rPr>
          <w:rFonts w:hint="cs"/>
          <w:rtl/>
        </w:rPr>
        <w:t>رویکرد دادگاه‌ها</w:t>
      </w:r>
      <w:bookmarkEnd w:id="30"/>
    </w:p>
    <w:p w:rsidR="00153D13" w:rsidRPr="00153D13" w:rsidRDefault="00153D13" w:rsidP="00153D13">
      <w:pPr>
        <w:bidi/>
        <w:rPr>
          <w:rtl/>
          <w:lang w:bidi="fa-IR"/>
        </w:rPr>
      </w:pPr>
    </w:p>
    <w:p w:rsidR="003602AD" w:rsidRPr="005C2283" w:rsidRDefault="003602AD" w:rsidP="004C2DA3">
      <w:pPr>
        <w:bidi/>
        <w:ind w:firstLine="360"/>
        <w:jc w:val="mediumKashida"/>
        <w:rPr>
          <w:lang w:bidi="fa-IR"/>
        </w:rPr>
      </w:pPr>
      <w:r w:rsidRPr="005C2283">
        <w:rPr>
          <w:rFonts w:hint="cs"/>
          <w:rtl/>
          <w:lang w:bidi="fa-IR"/>
        </w:rPr>
        <w:t>با وجود تفاوت‌های موجود در اصطلاحات قوانین مختلف، رویه قضایی و تفاسیر بررسی شده حاکی از آن است که دادگاه‌های بسیاری از کشورها مفهوم نظم</w:t>
      </w:r>
      <w:r>
        <w:rPr>
          <w:rFonts w:hint="cs"/>
          <w:rtl/>
          <w:lang w:bidi="fa-IR"/>
        </w:rPr>
        <w:t xml:space="preserve"> </w:t>
      </w:r>
      <w:r>
        <w:rPr>
          <w:rFonts w:hint="cs"/>
          <w:rtl/>
          <w:lang w:bidi="fa-IR"/>
        </w:rPr>
        <w:lastRenderedPageBreak/>
        <w:t xml:space="preserve">عمومی بین‌المللی که به طور کلی مضیق‌تر از نظم عمومی داخلی انگاشته شده </w:t>
      </w:r>
      <w:r w:rsidRPr="005C2283">
        <w:rPr>
          <w:rFonts w:hint="cs"/>
          <w:rtl/>
          <w:lang w:bidi="fa-IR"/>
        </w:rPr>
        <w:t>را اعمال می‌کنند.</w:t>
      </w:r>
      <w:r w:rsidRPr="005C2283">
        <w:rPr>
          <w:rStyle w:val="FootnoteReference"/>
          <w:rtl/>
          <w:lang w:bidi="fa-IR"/>
        </w:rPr>
        <w:footnoteReference w:id="196"/>
      </w:r>
    </w:p>
    <w:p w:rsidR="003602AD" w:rsidRPr="005C2283" w:rsidRDefault="003602AD" w:rsidP="004C2DA3">
      <w:pPr>
        <w:bidi/>
        <w:ind w:firstLine="360"/>
        <w:jc w:val="mediumKashida"/>
        <w:rPr>
          <w:rtl/>
          <w:lang w:bidi="fa-IR"/>
        </w:rPr>
      </w:pPr>
      <w:r w:rsidRPr="005C2283">
        <w:rPr>
          <w:rFonts w:hint="cs"/>
          <w:rtl/>
          <w:lang w:bidi="fa-IR"/>
        </w:rPr>
        <w:t>به عنوان مثال همان‌طور که پیش‌تر هم ذکر شد، قوانین فراسه و پرتغال به نظم عمومی بین‌المللی اشاره می‌کنند. دادگاه‌های چندین کشو</w:t>
      </w:r>
      <w:r>
        <w:rPr>
          <w:rFonts w:hint="cs"/>
          <w:rtl/>
          <w:lang w:bidi="fa-IR"/>
        </w:rPr>
        <w:t>ر اروپایی تابع نظام حقوقی رومی-ژرمنی</w:t>
      </w:r>
      <w:r w:rsidRPr="005C2283">
        <w:rPr>
          <w:rFonts w:hint="cs"/>
          <w:rtl/>
          <w:lang w:bidi="fa-IR"/>
        </w:rPr>
        <w:t xml:space="preserve"> به صراحت نظم عمومی بین‌المللی را اعمال می‌کنند. برای مثال: آلمان، ایتالیا و سوئیس. گروهی دیگر نظم عمومی را به طور</w:t>
      </w:r>
      <w:r w:rsidRPr="00A63C93">
        <w:rPr>
          <w:rFonts w:hint="cs"/>
          <w:sz w:val="32"/>
          <w:szCs w:val="32"/>
          <w:rtl/>
          <w:lang w:bidi="fa-IR"/>
        </w:rPr>
        <w:t xml:space="preserve"> </w:t>
      </w:r>
      <w:r>
        <w:rPr>
          <w:rFonts w:hint="cs"/>
          <w:rtl/>
          <w:lang w:bidi="fa-IR"/>
        </w:rPr>
        <w:t>محدود به کار می‌برند</w:t>
      </w:r>
      <w:r w:rsidRPr="005C2283">
        <w:rPr>
          <w:rFonts w:hint="cs"/>
          <w:rtl/>
          <w:lang w:bidi="fa-IR"/>
        </w:rPr>
        <w:t>. مثلاً: دانمارک، هلند، نروژ، اسپانیا و سوئد. یک حقوقدان برجسته آرژانتینی</w:t>
      </w:r>
      <w:r w:rsidRPr="005C2283">
        <w:rPr>
          <w:lang w:bidi="fa-IR"/>
        </w:rPr>
        <w:t xml:space="preserve"> </w:t>
      </w:r>
      <w:r w:rsidRPr="005C2283">
        <w:rPr>
          <w:rFonts w:hint="cs"/>
          <w:rtl/>
          <w:lang w:bidi="fa-IR"/>
        </w:rPr>
        <w:t>اظهار می‌دارد</w:t>
      </w:r>
      <w:r>
        <w:rPr>
          <w:rFonts w:hint="cs"/>
          <w:rtl/>
          <w:lang w:bidi="fa-IR"/>
        </w:rPr>
        <w:t>:</w:t>
      </w:r>
      <w:r w:rsidRPr="005C2283">
        <w:rPr>
          <w:rFonts w:hint="cs"/>
          <w:rtl/>
          <w:lang w:bidi="fa-IR"/>
        </w:rPr>
        <w:t xml:space="preserve"> در آرژانتین دادگاه‌ها آرای خارجی که ناقض نظم عمومی بین‌المللی آرژانتین هستند را اجرا نخواهند کرد.</w:t>
      </w:r>
      <w:r w:rsidRPr="005C2283">
        <w:rPr>
          <w:rStyle w:val="FootnoteReference"/>
          <w:rtl/>
          <w:lang w:bidi="fa-IR"/>
        </w:rPr>
        <w:footnoteReference w:id="197"/>
      </w:r>
      <w:r w:rsidRPr="005C2283">
        <w:rPr>
          <w:rFonts w:hint="cs"/>
          <w:rtl/>
          <w:lang w:bidi="fa-IR"/>
        </w:rPr>
        <w:t xml:space="preserve"> </w:t>
      </w:r>
    </w:p>
    <w:p w:rsidR="003602AD" w:rsidRPr="005C2283" w:rsidRDefault="003602AD" w:rsidP="004C2DA3">
      <w:pPr>
        <w:bidi/>
        <w:ind w:firstLine="360"/>
        <w:jc w:val="mediumKashida"/>
        <w:rPr>
          <w:rtl/>
          <w:lang w:bidi="fa-IR"/>
        </w:rPr>
      </w:pPr>
      <w:r w:rsidRPr="005C2283">
        <w:rPr>
          <w:rFonts w:hint="cs"/>
          <w:rtl/>
          <w:lang w:bidi="fa-IR"/>
        </w:rPr>
        <w:t>کشورهای تابع نظام حقوقی کامن</w:t>
      </w:r>
      <w:r>
        <w:rPr>
          <w:rFonts w:hint="cs"/>
          <w:rtl/>
          <w:lang w:bidi="fa-IR"/>
        </w:rPr>
        <w:t>‌لا دامنه نظم عمومی را محدود نموده‌اند.</w:t>
      </w:r>
      <w:r w:rsidRPr="005C2283">
        <w:rPr>
          <w:rFonts w:hint="cs"/>
          <w:rtl/>
          <w:lang w:bidi="fa-IR"/>
        </w:rPr>
        <w:t xml:space="preserve"> هیچ شکی وجود ندارد که ایالات متحده آمریکا به کنوانسیون نیویورک و کنوانسیون پاناما اثر قانونی بخشیده است</w:t>
      </w:r>
      <w:r w:rsidRPr="005C2283">
        <w:rPr>
          <w:rStyle w:val="FootnoteReference"/>
          <w:rtl/>
          <w:lang w:bidi="fa-IR"/>
        </w:rPr>
        <w:footnoteReference w:id="198"/>
      </w:r>
      <w:r w:rsidRPr="005C2283">
        <w:rPr>
          <w:rFonts w:hint="cs"/>
          <w:rtl/>
          <w:lang w:bidi="fa-IR"/>
        </w:rPr>
        <w:t xml:space="preserve"> و مفهوم مضیق نظم عمومی را اعمال می‌کند. برای مثال، رأی معروف قاضی اسمیت در پرونده پارسونز و وایت‌مور</w:t>
      </w:r>
      <w:r>
        <w:rPr>
          <w:rFonts w:hint="cs"/>
          <w:rtl/>
          <w:lang w:bidi="fa-IR"/>
        </w:rPr>
        <w:t xml:space="preserve"> که در آن به این نکته اشاره شد؛ اجرای رأی خارجی فقط بایستی</w:t>
      </w:r>
      <w:r w:rsidRPr="005C2283">
        <w:rPr>
          <w:rFonts w:hint="cs"/>
          <w:rtl/>
          <w:lang w:bidi="fa-IR"/>
        </w:rPr>
        <w:t xml:space="preserve"> در جایی مورد امت</w:t>
      </w:r>
      <w:r>
        <w:rPr>
          <w:rFonts w:hint="cs"/>
          <w:rtl/>
          <w:lang w:bidi="fa-IR"/>
        </w:rPr>
        <w:t>ناع واقع شود</w:t>
      </w:r>
      <w:r w:rsidRPr="005C2283">
        <w:rPr>
          <w:rFonts w:hint="cs"/>
          <w:rtl/>
          <w:lang w:bidi="fa-IR"/>
        </w:rPr>
        <w:t xml:space="preserve"> که </w:t>
      </w:r>
      <w:r>
        <w:rPr>
          <w:rFonts w:hint="cs"/>
          <w:rtl/>
          <w:lang w:bidi="fa-IR"/>
        </w:rPr>
        <w:t>"</w:t>
      </w:r>
      <w:r w:rsidRPr="005C2283">
        <w:rPr>
          <w:rFonts w:hint="cs"/>
          <w:rtl/>
          <w:lang w:bidi="fa-IR"/>
        </w:rPr>
        <w:t>اساسی‌ترین مفاهیم اخلاق و عدالت کش</w:t>
      </w:r>
      <w:r>
        <w:rPr>
          <w:rFonts w:hint="cs"/>
          <w:rtl/>
          <w:lang w:bidi="fa-IR"/>
        </w:rPr>
        <w:t>ور متبوع دادگاه را نقض کند.</w:t>
      </w:r>
      <w:r w:rsidRPr="005C2283">
        <w:rPr>
          <w:rFonts w:hint="cs"/>
          <w:rtl/>
          <w:lang w:bidi="fa-IR"/>
        </w:rPr>
        <w:t>"</w:t>
      </w:r>
      <w:r w:rsidRPr="005C2283">
        <w:rPr>
          <w:rStyle w:val="FootnoteReference"/>
          <w:rtl/>
          <w:lang w:bidi="fa-IR"/>
        </w:rPr>
        <w:footnoteReference w:id="199"/>
      </w:r>
      <w:r w:rsidRPr="005C2283">
        <w:rPr>
          <w:rFonts w:hint="cs"/>
          <w:rtl/>
          <w:lang w:bidi="fa-IR"/>
        </w:rPr>
        <w:t xml:space="preserve"> در سال 1974 دیوان عالی در پرونده </w:t>
      </w:r>
      <w:r>
        <w:rPr>
          <w:rFonts w:hint="cs"/>
          <w:rtl/>
          <w:lang w:bidi="fa-IR"/>
        </w:rPr>
        <w:t xml:space="preserve">اسکرک مقابل آلبرتو کالور </w:t>
      </w:r>
      <w:r w:rsidRPr="005C2283">
        <w:rPr>
          <w:rFonts w:hint="cs"/>
          <w:rtl/>
          <w:lang w:bidi="fa-IR"/>
        </w:rPr>
        <w:t>میان نظم عمومی داخلی و بین‌المللی تمایز قائل شد.</w:t>
      </w:r>
      <w:r>
        <w:rPr>
          <w:rFonts w:hint="cs"/>
          <w:rtl/>
          <w:lang w:bidi="fa-IR"/>
        </w:rPr>
        <w:t xml:space="preserve"> ادعای ناشی از رأی صادره</w:t>
      </w:r>
      <w:r w:rsidRPr="005C2283">
        <w:rPr>
          <w:rFonts w:hint="cs"/>
          <w:rtl/>
          <w:lang w:bidi="fa-IR"/>
        </w:rPr>
        <w:t xml:space="preserve"> د</w:t>
      </w:r>
      <w:r>
        <w:rPr>
          <w:rFonts w:hint="cs"/>
          <w:rtl/>
          <w:lang w:bidi="fa-IR"/>
        </w:rPr>
        <w:t>اوری تجاری</w:t>
      </w:r>
      <w:r w:rsidRPr="005C2283">
        <w:rPr>
          <w:rFonts w:hint="cs"/>
          <w:rtl/>
          <w:lang w:bidi="fa-IR"/>
        </w:rPr>
        <w:t xml:space="preserve"> بین‌المللی </w:t>
      </w:r>
      <w:r>
        <w:rPr>
          <w:rFonts w:hint="cs"/>
          <w:rtl/>
          <w:lang w:bidi="fa-IR"/>
        </w:rPr>
        <w:t>به اجرا درمی‌آید</w:t>
      </w:r>
      <w:r w:rsidRPr="005C2283">
        <w:rPr>
          <w:rFonts w:hint="cs"/>
          <w:rtl/>
          <w:lang w:bidi="fa-IR"/>
        </w:rPr>
        <w:t>، اگر چه</w:t>
      </w:r>
      <w:r>
        <w:rPr>
          <w:rFonts w:hint="cs"/>
          <w:rtl/>
          <w:lang w:bidi="fa-IR"/>
        </w:rPr>
        <w:t xml:space="preserve"> ممکن است</w:t>
      </w:r>
      <w:r w:rsidRPr="005C2283">
        <w:rPr>
          <w:rFonts w:hint="cs"/>
          <w:rtl/>
          <w:lang w:bidi="fa-IR"/>
        </w:rPr>
        <w:t xml:space="preserve"> ادعا</w:t>
      </w:r>
      <w:r>
        <w:rPr>
          <w:rFonts w:hint="cs"/>
          <w:rtl/>
          <w:lang w:bidi="fa-IR"/>
        </w:rPr>
        <w:t>یی مشابه آن</w:t>
      </w:r>
      <w:r w:rsidRPr="005C2283">
        <w:rPr>
          <w:rFonts w:hint="cs"/>
          <w:rtl/>
          <w:lang w:bidi="fa-IR"/>
        </w:rPr>
        <w:t xml:space="preserve"> که ناشی از</w:t>
      </w:r>
      <w:r>
        <w:rPr>
          <w:rFonts w:hint="cs"/>
          <w:rtl/>
          <w:lang w:bidi="fa-IR"/>
        </w:rPr>
        <w:t xml:space="preserve"> معاملات داخلی </w:t>
      </w:r>
      <w:r>
        <w:rPr>
          <w:rFonts w:hint="cs"/>
          <w:rtl/>
          <w:lang w:bidi="fa-IR"/>
        </w:rPr>
        <w:lastRenderedPageBreak/>
        <w:t>باشد، با ممانعت مواجه شو</w:t>
      </w:r>
      <w:r w:rsidRPr="005C2283">
        <w:rPr>
          <w:rFonts w:hint="cs"/>
          <w:rtl/>
          <w:lang w:bidi="fa-IR"/>
        </w:rPr>
        <w:t>د.</w:t>
      </w:r>
      <w:r>
        <w:rPr>
          <w:rStyle w:val="FootnoteReference"/>
          <w:rtl/>
          <w:lang w:bidi="fa-IR"/>
        </w:rPr>
        <w:footnoteReference w:id="200"/>
      </w:r>
      <w:r w:rsidRPr="005C2283">
        <w:rPr>
          <w:rFonts w:hint="cs"/>
          <w:rtl/>
          <w:lang w:bidi="fa-IR"/>
        </w:rPr>
        <w:t xml:space="preserve"> هولتزمن</w:t>
      </w:r>
      <w:r>
        <w:rPr>
          <w:rFonts w:hint="cs"/>
          <w:rtl/>
          <w:lang w:bidi="fa-IR"/>
        </w:rPr>
        <w:t xml:space="preserve"> در همین رابطه اذعان می‌دار</w:t>
      </w:r>
      <w:r w:rsidRPr="005C2283">
        <w:rPr>
          <w:rFonts w:hint="cs"/>
          <w:rtl/>
          <w:lang w:bidi="fa-IR"/>
        </w:rPr>
        <w:t>د</w:t>
      </w:r>
      <w:r>
        <w:rPr>
          <w:rFonts w:hint="cs"/>
          <w:rtl/>
          <w:lang w:bidi="fa-IR"/>
        </w:rPr>
        <w:t>:</w:t>
      </w:r>
      <w:r w:rsidRPr="005C2283">
        <w:rPr>
          <w:rFonts w:hint="cs"/>
          <w:rtl/>
          <w:lang w:bidi="fa-IR"/>
        </w:rPr>
        <w:t xml:space="preserve"> دادگاه‌ها به ویژه از زمان الحاق ایالات متحده آمریکا به کنوانسیون نیویورک، تصدیق می‌کنند که نظم عمومی آمریکا از اجرای احکام داوری تجاری بین‌المللی به عنوان یک عنصر ضروری در ارتقای تجارت خارجی و صلح جهانی طرفداری می‌کند</w:t>
      </w:r>
      <w:r>
        <w:rPr>
          <w:rFonts w:hint="cs"/>
          <w:rtl/>
          <w:lang w:bidi="fa-IR"/>
        </w:rPr>
        <w:t>؛</w:t>
      </w:r>
      <w:r w:rsidRPr="005C2283">
        <w:rPr>
          <w:rFonts w:hint="cs"/>
          <w:rtl/>
          <w:lang w:bidi="fa-IR"/>
        </w:rPr>
        <w:t xml:space="preserve"> نظم جهانی بر نظم عمومی مذکور در قوانین داخلی اولویت یافته است</w:t>
      </w:r>
      <w:r w:rsidRPr="0025035E">
        <w:rPr>
          <w:vertAlign w:val="superscript"/>
          <w:rtl/>
          <w:lang w:bidi="fa-IR"/>
        </w:rPr>
        <w:footnoteReference w:id="201"/>
      </w:r>
      <w:r w:rsidRPr="005C2283">
        <w:rPr>
          <w:rFonts w:hint="cs"/>
          <w:rtl/>
          <w:lang w:bidi="fa-IR"/>
        </w:rPr>
        <w:t xml:space="preserve"> (او به پرونده‌های مشهور در رابطه با قابل داوری بودن اوراق بهادار و</w:t>
      </w:r>
      <w:r>
        <w:rPr>
          <w:rFonts w:hint="cs"/>
          <w:rtl/>
          <w:lang w:bidi="fa-IR"/>
        </w:rPr>
        <w:t xml:space="preserve"> اختلافات ضد تراست اشاره می‌کند</w:t>
      </w:r>
      <w:r w:rsidRPr="005C2283">
        <w:rPr>
          <w:rStyle w:val="FootnoteReference"/>
          <w:rtl/>
          <w:lang w:bidi="fa-IR"/>
        </w:rPr>
        <w:footnoteReference w:id="202"/>
      </w:r>
      <w:r>
        <w:rPr>
          <w:rFonts w:hint="cs"/>
          <w:rtl/>
          <w:lang w:bidi="fa-IR"/>
        </w:rPr>
        <w:t>).</w:t>
      </w:r>
      <w:r w:rsidRPr="005C2283">
        <w:rPr>
          <w:rFonts w:hint="cs"/>
          <w:rtl/>
          <w:lang w:bidi="fa-IR"/>
        </w:rPr>
        <w:t xml:space="preserve"> </w:t>
      </w:r>
    </w:p>
    <w:p w:rsidR="003602AD" w:rsidRPr="005C2283" w:rsidRDefault="003602AD" w:rsidP="004C2DA3">
      <w:pPr>
        <w:bidi/>
        <w:ind w:firstLine="360"/>
        <w:jc w:val="mediumKashida"/>
        <w:rPr>
          <w:rtl/>
          <w:lang w:bidi="fa-IR"/>
        </w:rPr>
      </w:pPr>
      <w:r w:rsidRPr="005C2283">
        <w:rPr>
          <w:rFonts w:hint="cs"/>
          <w:rtl/>
          <w:lang w:bidi="fa-IR"/>
        </w:rPr>
        <w:t>قانون داوری 1996 انگلیس مق</w:t>
      </w:r>
      <w:r>
        <w:rPr>
          <w:rFonts w:hint="cs"/>
          <w:rtl/>
          <w:lang w:bidi="fa-IR"/>
        </w:rPr>
        <w:t>رر می‌دارد:</w:t>
      </w:r>
      <w:r w:rsidRPr="005C2283">
        <w:rPr>
          <w:rFonts w:hint="cs"/>
          <w:rtl/>
          <w:lang w:bidi="fa-IR"/>
        </w:rPr>
        <w:t xml:space="preserve"> شناسایی یا اجرای یک رأی تابع نظام کنوانسیون نیویورک ممکن است مورد انکار واقع شود "اگر مخالف نظم عمومی مربوط به مقوله شناسایی یا اجرای احکام باشد</w:t>
      </w:r>
      <w:r>
        <w:rPr>
          <w:rFonts w:hint="cs"/>
          <w:rtl/>
          <w:lang w:bidi="fa-IR"/>
        </w:rPr>
        <w:t>.</w:t>
      </w:r>
      <w:r w:rsidRPr="005C2283">
        <w:rPr>
          <w:rFonts w:hint="cs"/>
          <w:rtl/>
          <w:lang w:bidi="fa-IR"/>
        </w:rPr>
        <w:t>"</w:t>
      </w:r>
      <w:r w:rsidRPr="005C2283">
        <w:rPr>
          <w:rStyle w:val="FootnoteReference"/>
          <w:rtl/>
          <w:lang w:bidi="fa-IR"/>
        </w:rPr>
        <w:footnoteReference w:id="203"/>
      </w:r>
      <w:r w:rsidRPr="005C2283">
        <w:rPr>
          <w:rFonts w:hint="cs"/>
          <w:rtl/>
          <w:lang w:bidi="fa-IR"/>
        </w:rPr>
        <w:t xml:space="preserve"> </w:t>
      </w:r>
      <w:r>
        <w:rPr>
          <w:rFonts w:hint="cs"/>
          <w:rtl/>
          <w:lang w:bidi="fa-IR"/>
        </w:rPr>
        <w:t>دادگاه‌های انگلیس</w:t>
      </w:r>
      <w:r w:rsidRPr="005C2283">
        <w:rPr>
          <w:rFonts w:hint="cs"/>
          <w:rtl/>
          <w:lang w:bidi="fa-IR"/>
        </w:rPr>
        <w:t xml:space="preserve"> صراحتاً به نظم ع</w:t>
      </w:r>
      <w:r>
        <w:rPr>
          <w:rFonts w:hint="cs"/>
          <w:rtl/>
          <w:lang w:bidi="fa-IR"/>
        </w:rPr>
        <w:t xml:space="preserve">مومی بین‌المللی اشاره‌ نکرده‌، اما </w:t>
      </w:r>
      <w:r w:rsidRPr="005C2283">
        <w:rPr>
          <w:rFonts w:hint="cs"/>
          <w:rtl/>
          <w:lang w:bidi="fa-IR"/>
        </w:rPr>
        <w:t>اخیراً اهمیت قطعیت آ</w:t>
      </w:r>
      <w:r>
        <w:rPr>
          <w:rFonts w:hint="cs"/>
          <w:rtl/>
          <w:lang w:bidi="fa-IR"/>
        </w:rPr>
        <w:t>راء</w:t>
      </w:r>
      <w:r w:rsidRPr="005C2283">
        <w:rPr>
          <w:rFonts w:hint="cs"/>
          <w:rtl/>
          <w:lang w:bidi="fa-IR"/>
        </w:rPr>
        <w:t xml:space="preserve"> با در نظر داشتن اعتراض به اجرا</w:t>
      </w:r>
      <w:r>
        <w:rPr>
          <w:rFonts w:hint="cs"/>
          <w:rtl/>
          <w:lang w:bidi="fa-IR"/>
        </w:rPr>
        <w:t>،</w:t>
      </w:r>
      <w:r w:rsidRPr="005C2283">
        <w:rPr>
          <w:rFonts w:hint="cs"/>
          <w:rtl/>
          <w:lang w:bidi="fa-IR"/>
        </w:rPr>
        <w:t xml:space="preserve"> به دلایل عدم مشروعیت</w:t>
      </w:r>
      <w:r>
        <w:rPr>
          <w:rFonts w:hint="cs"/>
          <w:rtl/>
          <w:lang w:bidi="fa-IR"/>
        </w:rPr>
        <w:t xml:space="preserve"> را مورد تایید قرار داده‌ و </w:t>
      </w:r>
      <w:r w:rsidRPr="005C2283">
        <w:rPr>
          <w:rFonts w:hint="cs"/>
          <w:rtl/>
          <w:lang w:bidi="fa-IR"/>
        </w:rPr>
        <w:t>همچنین به طور مؤثر مفهوم مضی</w:t>
      </w:r>
      <w:r>
        <w:rPr>
          <w:rFonts w:hint="cs"/>
          <w:rtl/>
          <w:lang w:bidi="fa-IR"/>
        </w:rPr>
        <w:t>ق</w:t>
      </w:r>
      <w:r w:rsidRPr="005C2283">
        <w:rPr>
          <w:rFonts w:hint="cs"/>
          <w:rtl/>
          <w:lang w:bidi="fa-IR"/>
        </w:rPr>
        <w:t xml:space="preserve"> نظم عمومی را تصدیق کرده‌اند.</w:t>
      </w:r>
      <w:r w:rsidRPr="005C2283">
        <w:rPr>
          <w:rStyle w:val="FootnoteReference"/>
          <w:rtl/>
          <w:lang w:bidi="fa-IR"/>
        </w:rPr>
        <w:footnoteReference w:id="204"/>
      </w:r>
      <w:r w:rsidRPr="005C2283">
        <w:rPr>
          <w:rFonts w:hint="cs"/>
          <w:rtl/>
          <w:lang w:bidi="fa-IR"/>
        </w:rPr>
        <w:t xml:space="preserve"> </w:t>
      </w:r>
    </w:p>
    <w:p w:rsidR="003602AD" w:rsidRPr="005C2283" w:rsidRDefault="003602AD" w:rsidP="004C2DA3">
      <w:pPr>
        <w:bidi/>
        <w:ind w:firstLine="360"/>
        <w:jc w:val="mediumKashida"/>
        <w:rPr>
          <w:rtl/>
          <w:lang w:bidi="fa-IR"/>
        </w:rPr>
      </w:pPr>
      <w:r>
        <w:rPr>
          <w:rFonts w:hint="cs"/>
          <w:rtl/>
          <w:lang w:bidi="fa-IR"/>
        </w:rPr>
        <w:t xml:space="preserve">دیوان عالی هندوستان در پرونده رنسوآگار پاور مقابل جنرال الکتریک </w:t>
      </w:r>
      <w:r w:rsidRPr="005C2283">
        <w:rPr>
          <w:rFonts w:hint="cs"/>
          <w:rtl/>
          <w:lang w:bidi="fa-IR"/>
        </w:rPr>
        <w:t>در سال 1994 نظم عمومی را بسیار محدودتر از قبل تفسیر</w:t>
      </w:r>
      <w:r>
        <w:rPr>
          <w:rFonts w:hint="cs"/>
          <w:rtl/>
          <w:lang w:bidi="fa-IR"/>
        </w:rPr>
        <w:t xml:space="preserve"> کرد. دادگاه اظهار نمود برای</w:t>
      </w:r>
      <w:r w:rsidRPr="005C2283">
        <w:rPr>
          <w:rFonts w:hint="cs"/>
          <w:rtl/>
          <w:lang w:bidi="fa-IR"/>
        </w:rPr>
        <w:t xml:space="preserve"> </w:t>
      </w:r>
      <w:r>
        <w:rPr>
          <w:rFonts w:hint="cs"/>
          <w:rtl/>
          <w:lang w:bidi="fa-IR"/>
        </w:rPr>
        <w:t>اعمال</w:t>
      </w:r>
      <w:r w:rsidRPr="005C2283">
        <w:rPr>
          <w:rFonts w:hint="cs"/>
          <w:rtl/>
          <w:lang w:bidi="fa-IR"/>
        </w:rPr>
        <w:t xml:space="preserve"> مانع نظم عمومی در رابطه با اجرای رأی باید به چیزی بیشتر از نقض قوا</w:t>
      </w:r>
      <w:r>
        <w:rPr>
          <w:rFonts w:hint="cs"/>
          <w:rtl/>
          <w:lang w:bidi="fa-IR"/>
        </w:rPr>
        <w:t>نین هند استناد کرد. در ضمن بیان</w:t>
      </w:r>
      <w:r w:rsidRPr="005C2283">
        <w:rPr>
          <w:rFonts w:hint="cs"/>
          <w:rtl/>
          <w:lang w:bidi="fa-IR"/>
        </w:rPr>
        <w:t xml:space="preserve"> داشت که</w:t>
      </w:r>
      <w:r>
        <w:rPr>
          <w:rFonts w:hint="cs"/>
          <w:rtl/>
          <w:lang w:bidi="fa-IR"/>
        </w:rPr>
        <w:t xml:space="preserve"> از اصطلاح نظم عمومی باید همان</w:t>
      </w:r>
      <w:r w:rsidRPr="005C2283">
        <w:rPr>
          <w:rFonts w:hint="cs"/>
          <w:rtl/>
          <w:lang w:bidi="fa-IR"/>
        </w:rPr>
        <w:t xml:space="preserve"> معنایی </w:t>
      </w:r>
      <w:r>
        <w:rPr>
          <w:rFonts w:hint="cs"/>
          <w:rtl/>
          <w:lang w:bidi="fa-IR"/>
        </w:rPr>
        <w:t xml:space="preserve">برداشت شود </w:t>
      </w:r>
      <w:r w:rsidRPr="005C2283">
        <w:rPr>
          <w:rFonts w:hint="cs"/>
          <w:rtl/>
          <w:lang w:bidi="fa-IR"/>
        </w:rPr>
        <w:t>که دکترین نظم عمومی در زمینه حقوق بین‌الملل خصوصی ا</w:t>
      </w:r>
      <w:r>
        <w:rPr>
          <w:rFonts w:hint="cs"/>
          <w:rtl/>
          <w:lang w:bidi="fa-IR"/>
        </w:rPr>
        <w:t xml:space="preserve">براز </w:t>
      </w:r>
      <w:r>
        <w:rPr>
          <w:rFonts w:hint="cs"/>
          <w:rtl/>
          <w:lang w:bidi="fa-IR"/>
        </w:rPr>
        <w:lastRenderedPageBreak/>
        <w:t>می‌دارد. همچنین ا</w:t>
      </w:r>
      <w:r w:rsidRPr="005C2283">
        <w:rPr>
          <w:rFonts w:hint="cs"/>
          <w:rtl/>
          <w:lang w:bidi="fa-IR"/>
        </w:rPr>
        <w:t>جرای حکم خارجی</w:t>
      </w:r>
      <w:r>
        <w:rPr>
          <w:rFonts w:hint="cs"/>
          <w:rtl/>
          <w:lang w:bidi="fa-IR"/>
        </w:rPr>
        <w:t xml:space="preserve"> در صورتی</w:t>
      </w:r>
      <w:r w:rsidRPr="005C2283">
        <w:rPr>
          <w:rFonts w:hint="cs"/>
          <w:rtl/>
          <w:lang w:bidi="fa-IR"/>
        </w:rPr>
        <w:t xml:space="preserve"> مخالف نظم عمومی خواهد بود </w:t>
      </w:r>
      <w:r>
        <w:rPr>
          <w:rFonts w:hint="cs"/>
          <w:rtl/>
          <w:lang w:bidi="fa-IR"/>
        </w:rPr>
        <w:t>که</w:t>
      </w:r>
      <w:r w:rsidRPr="005C2283">
        <w:rPr>
          <w:rFonts w:hint="cs"/>
          <w:rtl/>
          <w:lang w:bidi="fa-IR"/>
        </w:rPr>
        <w:t xml:space="preserve"> در تعارض با (الف) نظم اساسی حقوق هند (ب) منافع هند (ج) اخلاق و عدالت باشد.</w:t>
      </w:r>
      <w:r w:rsidRPr="005C2283">
        <w:rPr>
          <w:rStyle w:val="FootnoteReference"/>
          <w:rtl/>
          <w:lang w:bidi="fa-IR"/>
        </w:rPr>
        <w:footnoteReference w:id="205"/>
      </w:r>
      <w:r w:rsidRPr="005C2283">
        <w:rPr>
          <w:rFonts w:hint="cs"/>
          <w:rtl/>
          <w:lang w:bidi="fa-IR"/>
        </w:rPr>
        <w:t xml:space="preserve"> </w:t>
      </w:r>
    </w:p>
    <w:p w:rsidR="003602AD" w:rsidRPr="005C2283" w:rsidRDefault="003602AD" w:rsidP="004C2DA3">
      <w:pPr>
        <w:bidi/>
        <w:ind w:firstLine="360"/>
        <w:jc w:val="mediumKashida"/>
        <w:rPr>
          <w:rtl/>
          <w:lang w:bidi="fa-IR"/>
        </w:rPr>
      </w:pPr>
      <w:r>
        <w:rPr>
          <w:rFonts w:hint="cs"/>
          <w:rtl/>
          <w:lang w:bidi="fa-IR"/>
        </w:rPr>
        <w:t>دادگاه استیناف</w:t>
      </w:r>
      <w:r w:rsidRPr="005C2283">
        <w:rPr>
          <w:rFonts w:hint="cs"/>
          <w:rtl/>
          <w:lang w:bidi="fa-IR"/>
        </w:rPr>
        <w:t xml:space="preserve"> هنگ‌کنگ </w:t>
      </w:r>
      <w:r>
        <w:rPr>
          <w:rFonts w:hint="cs"/>
          <w:rtl/>
          <w:lang w:bidi="fa-IR"/>
        </w:rPr>
        <w:t>در سال 1999</w:t>
      </w:r>
      <w:r w:rsidRPr="005C2283">
        <w:rPr>
          <w:rFonts w:hint="cs"/>
          <w:rtl/>
          <w:lang w:bidi="fa-IR"/>
        </w:rPr>
        <w:t xml:space="preserve"> نظریه</w:t>
      </w:r>
      <w:r>
        <w:rPr>
          <w:rFonts w:hint="cs"/>
          <w:rtl/>
          <w:lang w:bidi="fa-IR"/>
        </w:rPr>
        <w:t>‌ای که</w:t>
      </w:r>
      <w:r w:rsidRPr="005C2283">
        <w:rPr>
          <w:rFonts w:hint="cs"/>
          <w:rtl/>
          <w:lang w:bidi="fa-IR"/>
        </w:rPr>
        <w:t xml:space="preserve"> به موجب کنوانسیون نیویورک</w:t>
      </w:r>
      <w:r>
        <w:rPr>
          <w:rFonts w:hint="cs"/>
          <w:rtl/>
          <w:lang w:bidi="fa-IR"/>
        </w:rPr>
        <w:t>؛ نظم عمومی را</w:t>
      </w:r>
      <w:r w:rsidRPr="005C2283">
        <w:rPr>
          <w:rFonts w:hint="cs"/>
          <w:rtl/>
          <w:lang w:bidi="fa-IR"/>
        </w:rPr>
        <w:t xml:space="preserve"> به</w:t>
      </w:r>
      <w:r>
        <w:rPr>
          <w:rFonts w:hint="cs"/>
          <w:rtl/>
          <w:lang w:bidi="fa-IR"/>
        </w:rPr>
        <w:t xml:space="preserve"> معنای نظم عمومی بین‌المللی یا معیار مشترک برای همه ملل متمدن دانسته</w:t>
      </w:r>
      <w:r w:rsidRPr="005C2283">
        <w:rPr>
          <w:rFonts w:hint="cs"/>
          <w:rtl/>
          <w:lang w:bidi="fa-IR"/>
        </w:rPr>
        <w:t xml:space="preserve"> است</w:t>
      </w:r>
      <w:r>
        <w:rPr>
          <w:rFonts w:hint="cs"/>
          <w:rtl/>
          <w:lang w:bidi="fa-IR"/>
        </w:rPr>
        <w:t>، رد کرد. اما</w:t>
      </w:r>
      <w:r w:rsidRPr="005C2283">
        <w:rPr>
          <w:rFonts w:hint="cs"/>
          <w:rtl/>
          <w:lang w:bidi="fa-IR"/>
        </w:rPr>
        <w:t xml:space="preserve"> نظ</w:t>
      </w:r>
      <w:r>
        <w:rPr>
          <w:rFonts w:hint="cs"/>
          <w:rtl/>
          <w:lang w:bidi="fa-IR"/>
        </w:rPr>
        <w:t>م عمومی را به صورت مضیق تفسیر نمو</w:t>
      </w:r>
      <w:r w:rsidRPr="005C2283">
        <w:rPr>
          <w:rFonts w:hint="cs"/>
          <w:rtl/>
          <w:lang w:bidi="fa-IR"/>
        </w:rPr>
        <w:t xml:space="preserve">د. </w:t>
      </w:r>
      <w:r>
        <w:rPr>
          <w:rFonts w:hint="cs"/>
          <w:rtl/>
          <w:lang w:bidi="fa-IR"/>
        </w:rPr>
        <w:t xml:space="preserve">این </w:t>
      </w:r>
      <w:r w:rsidRPr="005C2283">
        <w:rPr>
          <w:rFonts w:hint="cs"/>
          <w:rtl/>
          <w:lang w:bidi="fa-IR"/>
        </w:rPr>
        <w:t>دادگاه پذیرفت که بررسی این‌ امر</w:t>
      </w:r>
      <w:r>
        <w:rPr>
          <w:rFonts w:hint="cs"/>
          <w:rtl/>
          <w:lang w:bidi="fa-IR"/>
        </w:rPr>
        <w:t xml:space="preserve"> می‌تواند مثمر ثمر واقع شود</w:t>
      </w:r>
      <w:r w:rsidRPr="005C2283">
        <w:rPr>
          <w:rFonts w:hint="cs"/>
          <w:rtl/>
          <w:lang w:bidi="fa-IR"/>
        </w:rPr>
        <w:t xml:space="preserve"> </w:t>
      </w:r>
      <w:r>
        <w:rPr>
          <w:rFonts w:hint="cs"/>
          <w:rtl/>
          <w:lang w:bidi="fa-IR"/>
        </w:rPr>
        <w:t>که تا چه حد دادگاه‌های</w:t>
      </w:r>
      <w:r w:rsidRPr="005C2283">
        <w:rPr>
          <w:rFonts w:hint="cs"/>
          <w:rtl/>
          <w:lang w:bidi="fa-IR"/>
        </w:rPr>
        <w:t xml:space="preserve"> حوزه‌های قضایی</w:t>
      </w:r>
      <w:r>
        <w:rPr>
          <w:rFonts w:hint="cs"/>
          <w:rtl/>
          <w:lang w:bidi="fa-IR"/>
        </w:rPr>
        <w:t xml:space="preserve"> دیگر </w:t>
      </w:r>
      <w:r w:rsidRPr="005C2283">
        <w:rPr>
          <w:rFonts w:hint="cs"/>
          <w:rtl/>
          <w:lang w:bidi="fa-IR"/>
        </w:rPr>
        <w:t>برای اجرای آرای اتخاذ شده به موجب کنوانسیون</w:t>
      </w:r>
      <w:r>
        <w:rPr>
          <w:rFonts w:hint="cs"/>
          <w:rtl/>
          <w:lang w:bidi="fa-IR"/>
        </w:rPr>
        <w:t xml:space="preserve"> آمادگی دارند</w:t>
      </w:r>
      <w:r w:rsidRPr="005C2283">
        <w:rPr>
          <w:rFonts w:hint="cs"/>
          <w:rtl/>
          <w:lang w:bidi="fa-IR"/>
        </w:rPr>
        <w:t>،</w:t>
      </w:r>
      <w:r>
        <w:rPr>
          <w:rFonts w:hint="cs"/>
          <w:rtl/>
          <w:lang w:bidi="fa-IR"/>
        </w:rPr>
        <w:t xml:space="preserve"> </w:t>
      </w:r>
      <w:r w:rsidRPr="005C2283">
        <w:rPr>
          <w:rFonts w:hint="cs"/>
          <w:rtl/>
          <w:lang w:bidi="fa-IR"/>
        </w:rPr>
        <w:t>در شرایطی که این آراء</w:t>
      </w:r>
      <w:r>
        <w:rPr>
          <w:rFonts w:hint="cs"/>
          <w:rtl/>
          <w:lang w:bidi="fa-IR"/>
        </w:rPr>
        <w:t xml:space="preserve"> با</w:t>
      </w:r>
      <w:r w:rsidRPr="005C2283">
        <w:rPr>
          <w:rFonts w:hint="cs"/>
          <w:rtl/>
          <w:lang w:bidi="fa-IR"/>
        </w:rPr>
        <w:t xml:space="preserve"> اس</w:t>
      </w:r>
      <w:r>
        <w:rPr>
          <w:rFonts w:hint="cs"/>
          <w:rtl/>
          <w:lang w:bidi="fa-IR"/>
        </w:rPr>
        <w:t>تانداردهای داخلی‌شان مطابقت ن</w:t>
      </w:r>
      <w:r w:rsidRPr="005C2283">
        <w:rPr>
          <w:rFonts w:hint="cs"/>
          <w:rtl/>
          <w:lang w:bidi="fa-IR"/>
        </w:rPr>
        <w:t>د</w:t>
      </w:r>
      <w:r>
        <w:rPr>
          <w:rFonts w:hint="cs"/>
          <w:rtl/>
          <w:lang w:bidi="fa-IR"/>
        </w:rPr>
        <w:t>اشته باشند.</w:t>
      </w:r>
      <w:r w:rsidRPr="005C2283">
        <w:rPr>
          <w:rStyle w:val="FootnoteReference"/>
          <w:rtl/>
          <w:lang w:bidi="fa-IR"/>
        </w:rPr>
        <w:footnoteReference w:id="206"/>
      </w:r>
      <w:r w:rsidRPr="005C2283">
        <w:rPr>
          <w:rFonts w:hint="cs"/>
          <w:rtl/>
          <w:lang w:bidi="fa-IR"/>
        </w:rPr>
        <w:t xml:space="preserve"> قاضی دیگر دادگاه متذکر شد که در بسیاری از موارد، نظم عمومی دادگاه محل اجرا با نظم عمومی بسیاری از کشورهای دیگر منطبق خواهد بود که این نظم عمومی مورد اشاره را </w:t>
      </w:r>
      <w:r>
        <w:rPr>
          <w:rFonts w:hint="cs"/>
          <w:rtl/>
          <w:lang w:bidi="fa-IR"/>
        </w:rPr>
        <w:t xml:space="preserve">حقیقتاً </w:t>
      </w:r>
      <w:r w:rsidRPr="005C2283">
        <w:rPr>
          <w:rFonts w:hint="cs"/>
          <w:rtl/>
          <w:lang w:bidi="fa-IR"/>
        </w:rPr>
        <w:t>م</w:t>
      </w:r>
      <w:r>
        <w:rPr>
          <w:rFonts w:hint="cs"/>
          <w:rtl/>
          <w:lang w:bidi="fa-IR"/>
        </w:rPr>
        <w:t>ی‌توان</w:t>
      </w:r>
      <w:r w:rsidRPr="005C2283">
        <w:rPr>
          <w:rFonts w:hint="cs"/>
          <w:rtl/>
          <w:lang w:bidi="fa-IR"/>
        </w:rPr>
        <w:t xml:space="preserve"> به عنوان نظم عمومی بین‌المللی توصیف </w:t>
      </w:r>
      <w:r>
        <w:rPr>
          <w:rFonts w:hint="cs"/>
          <w:rtl/>
          <w:lang w:bidi="fa-IR"/>
        </w:rPr>
        <w:t>نمو</w:t>
      </w:r>
      <w:r w:rsidRPr="005C2283">
        <w:rPr>
          <w:rFonts w:hint="cs"/>
          <w:rtl/>
          <w:lang w:bidi="fa-IR"/>
        </w:rPr>
        <w:t>د.</w:t>
      </w:r>
      <w:r>
        <w:rPr>
          <w:rStyle w:val="FootnoteReference"/>
          <w:rtl/>
          <w:lang w:bidi="fa-IR"/>
        </w:rPr>
        <w:footnoteReference w:id="207"/>
      </w:r>
    </w:p>
    <w:p w:rsidR="003602AD" w:rsidRPr="00A63C93" w:rsidRDefault="003602AD" w:rsidP="004C2DA3">
      <w:pPr>
        <w:bidi/>
        <w:ind w:firstLine="360"/>
        <w:jc w:val="mediumKashida"/>
        <w:rPr>
          <w:sz w:val="32"/>
          <w:szCs w:val="32"/>
          <w:lang w:bidi="fa-IR"/>
        </w:rPr>
      </w:pPr>
    </w:p>
    <w:p w:rsidR="003602AD" w:rsidRDefault="003602AD" w:rsidP="0057540F">
      <w:pPr>
        <w:pStyle w:val="Heading2"/>
        <w:bidi/>
        <w:jc w:val="center"/>
        <w:rPr>
          <w:lang w:bidi="fa-IR"/>
        </w:rPr>
      </w:pPr>
      <w:bookmarkStart w:id="31" w:name="_Toc397212658"/>
      <w:r w:rsidRPr="00E32FD4">
        <w:rPr>
          <w:rFonts w:hint="cs"/>
          <w:rtl/>
          <w:lang w:bidi="fa-IR"/>
        </w:rPr>
        <w:t>گفتار سوم: مفاد نظم عمومی قابل اعمال در زمینه امتناع از اجرای رأی</w:t>
      </w:r>
      <w:bookmarkEnd w:id="31"/>
    </w:p>
    <w:p w:rsidR="0057540F" w:rsidRPr="00E32FD4" w:rsidRDefault="0057540F" w:rsidP="0057540F">
      <w:pPr>
        <w:bidi/>
        <w:ind w:firstLine="360"/>
        <w:jc w:val="center"/>
        <w:rPr>
          <w:rFonts w:cs="B Zar"/>
          <w:b/>
          <w:bCs/>
          <w:sz w:val="36"/>
          <w:szCs w:val="36"/>
          <w:rtl/>
          <w:lang w:bidi="fa-IR"/>
        </w:rPr>
      </w:pPr>
    </w:p>
    <w:p w:rsidR="003602AD" w:rsidRPr="005C2283" w:rsidRDefault="003602AD" w:rsidP="004C2DA3">
      <w:pPr>
        <w:bidi/>
        <w:ind w:firstLine="360"/>
        <w:jc w:val="mediumKashida"/>
        <w:rPr>
          <w:rtl/>
          <w:lang w:bidi="fa-IR"/>
        </w:rPr>
      </w:pPr>
      <w:r>
        <w:rPr>
          <w:rFonts w:hint="cs"/>
          <w:rtl/>
          <w:lang w:bidi="fa-IR"/>
        </w:rPr>
        <w:t>در گستره‌ی مفاد</w:t>
      </w:r>
      <w:r w:rsidRPr="005C2283">
        <w:rPr>
          <w:rFonts w:hint="cs"/>
          <w:rtl/>
          <w:lang w:bidi="fa-IR"/>
        </w:rPr>
        <w:t xml:space="preserve"> نظم عمومی، مجموعه‌ای از هنجارها را می‌توان به شرح زیر مورد شناسایی قرار داد:</w:t>
      </w:r>
    </w:p>
    <w:p w:rsidR="003602AD" w:rsidRPr="005C2283" w:rsidRDefault="003602AD" w:rsidP="004C2DA3">
      <w:pPr>
        <w:pStyle w:val="ListParagraph"/>
        <w:bidi/>
        <w:ind w:left="0" w:firstLine="360"/>
        <w:jc w:val="mediumKashida"/>
        <w:rPr>
          <w:lang w:bidi="fa-IR"/>
        </w:rPr>
      </w:pPr>
      <w:r>
        <w:rPr>
          <w:rFonts w:hint="cs"/>
          <w:rtl/>
          <w:lang w:bidi="fa-IR"/>
        </w:rPr>
        <w:lastRenderedPageBreak/>
        <w:t>1- قوانین الزام‌آور و</w:t>
      </w:r>
      <w:r w:rsidRPr="005C2283">
        <w:rPr>
          <w:rFonts w:hint="cs"/>
          <w:rtl/>
          <w:lang w:bidi="fa-IR"/>
        </w:rPr>
        <w:t xml:space="preserve"> قواعد انتظامی</w:t>
      </w:r>
    </w:p>
    <w:p w:rsidR="003602AD" w:rsidRPr="005C2283" w:rsidRDefault="003602AD" w:rsidP="004C2DA3">
      <w:pPr>
        <w:pStyle w:val="ListParagraph"/>
        <w:bidi/>
        <w:ind w:left="0" w:firstLine="360"/>
        <w:jc w:val="mediumKashida"/>
        <w:rPr>
          <w:lang w:bidi="fa-IR"/>
        </w:rPr>
      </w:pPr>
      <w:r>
        <w:rPr>
          <w:rFonts w:hint="cs"/>
          <w:rtl/>
          <w:lang w:bidi="fa-IR"/>
        </w:rPr>
        <w:t xml:space="preserve">2- </w:t>
      </w:r>
      <w:r w:rsidRPr="005C2283">
        <w:rPr>
          <w:rFonts w:hint="cs"/>
          <w:rtl/>
          <w:lang w:bidi="fa-IR"/>
        </w:rPr>
        <w:t>اصول کلی حقوقی</w:t>
      </w:r>
    </w:p>
    <w:p w:rsidR="003602AD" w:rsidRPr="005C2283" w:rsidRDefault="003602AD" w:rsidP="004C2DA3">
      <w:pPr>
        <w:pStyle w:val="ListParagraph"/>
        <w:bidi/>
        <w:ind w:left="0" w:firstLine="360"/>
        <w:jc w:val="mediumKashida"/>
        <w:rPr>
          <w:lang w:bidi="fa-IR"/>
        </w:rPr>
      </w:pPr>
      <w:r>
        <w:rPr>
          <w:rFonts w:hint="cs"/>
          <w:rtl/>
          <w:lang w:bidi="fa-IR"/>
        </w:rPr>
        <w:t>3- نظم عمومی و</w:t>
      </w:r>
      <w:r w:rsidRPr="005C2283">
        <w:rPr>
          <w:rFonts w:hint="cs"/>
          <w:rtl/>
          <w:lang w:bidi="fa-IR"/>
        </w:rPr>
        <w:t xml:space="preserve"> اخلاق حسنه</w:t>
      </w:r>
    </w:p>
    <w:p w:rsidR="003602AD" w:rsidRPr="005C2283" w:rsidRDefault="003602AD" w:rsidP="004C2DA3">
      <w:pPr>
        <w:pStyle w:val="ListParagraph"/>
        <w:bidi/>
        <w:ind w:left="0" w:firstLine="360"/>
        <w:jc w:val="mediumKashida"/>
        <w:rPr>
          <w:lang w:bidi="fa-IR"/>
        </w:rPr>
      </w:pPr>
      <w:r>
        <w:rPr>
          <w:rFonts w:hint="cs"/>
          <w:rtl/>
          <w:lang w:bidi="fa-IR"/>
        </w:rPr>
        <w:t>4- منافع ملی و</w:t>
      </w:r>
      <w:r w:rsidRPr="005C2283">
        <w:rPr>
          <w:rFonts w:hint="cs"/>
          <w:rtl/>
          <w:lang w:bidi="fa-IR"/>
        </w:rPr>
        <w:t xml:space="preserve"> روابط خارجی</w:t>
      </w:r>
    </w:p>
    <w:p w:rsidR="003602AD" w:rsidRPr="005C2283" w:rsidRDefault="003602AD" w:rsidP="004C2DA3">
      <w:pPr>
        <w:bidi/>
        <w:ind w:firstLine="360"/>
        <w:jc w:val="mediumKashida"/>
        <w:rPr>
          <w:rtl/>
          <w:lang w:bidi="fa-IR"/>
        </w:rPr>
      </w:pPr>
      <w:r w:rsidRPr="005C2283">
        <w:rPr>
          <w:rFonts w:hint="cs"/>
          <w:rtl/>
          <w:lang w:bidi="fa-IR"/>
        </w:rPr>
        <w:t>برخی ممنوعیت‌های مربوط به نظم عمومی (مانند فساد، ق</w:t>
      </w:r>
      <w:r>
        <w:rPr>
          <w:rFonts w:hint="cs"/>
          <w:rtl/>
          <w:lang w:bidi="fa-IR"/>
        </w:rPr>
        <w:t>اچاق) ممکن است در بیش از یک گروه</w:t>
      </w:r>
      <w:r w:rsidRPr="005C2283">
        <w:rPr>
          <w:rFonts w:hint="cs"/>
          <w:rtl/>
          <w:lang w:bidi="fa-IR"/>
        </w:rPr>
        <w:t xml:space="preserve"> از تقسیم‌بندی بالا قرار گیرد. در این گفتار به دنبال تشخیص قوانین و هنجارهایی هستیم که در </w:t>
      </w:r>
      <w:r>
        <w:rPr>
          <w:rFonts w:hint="cs"/>
          <w:rtl/>
          <w:lang w:bidi="fa-IR"/>
        </w:rPr>
        <w:t>گستره نظم عمومی</w:t>
      </w:r>
      <w:r w:rsidRPr="005C2283">
        <w:rPr>
          <w:rFonts w:hint="cs"/>
          <w:rtl/>
          <w:lang w:bidi="fa-IR"/>
        </w:rPr>
        <w:t xml:space="preserve"> گنجانده شده‌اند. </w:t>
      </w:r>
    </w:p>
    <w:p w:rsidR="003602AD" w:rsidRPr="005C2283" w:rsidRDefault="003602AD" w:rsidP="004C2DA3">
      <w:pPr>
        <w:bidi/>
        <w:ind w:firstLine="360"/>
        <w:jc w:val="mediumKashida"/>
        <w:rPr>
          <w:rtl/>
          <w:lang w:bidi="fa-IR"/>
        </w:rPr>
      </w:pPr>
      <w:r w:rsidRPr="005C2283">
        <w:rPr>
          <w:rFonts w:hint="cs"/>
          <w:rtl/>
          <w:lang w:bidi="fa-IR"/>
        </w:rPr>
        <w:t>نظم عمومی قابل اعمال در زمینه اجرای رأی داوری تجار ی بین‌المللی (همان نظم عمومی بین‌المللی)، دربردارنده‌ی هر دو مقوله شکلی و ماهوی می‌باشد. به عنوان مثال دیوان عالی فرانسه در سال 1998 تأیید کرد که نظم عمومی بین‌المللی فرانسه ضرورتاً هر دو محور شکلی وماهوی را مشتمل می‌شود.</w:t>
      </w:r>
      <w:r w:rsidRPr="005C2283">
        <w:rPr>
          <w:rStyle w:val="FootnoteReference"/>
          <w:rtl/>
          <w:lang w:bidi="fa-IR"/>
        </w:rPr>
        <w:footnoteReference w:id="208"/>
      </w:r>
      <w:r w:rsidRPr="005C2283">
        <w:rPr>
          <w:rFonts w:hint="cs"/>
          <w:rtl/>
          <w:lang w:bidi="fa-IR"/>
        </w:rPr>
        <w:t xml:space="preserve"> </w:t>
      </w:r>
    </w:p>
    <w:p w:rsidR="003602AD" w:rsidRPr="005C2283" w:rsidRDefault="003602AD" w:rsidP="004C2DA3">
      <w:pPr>
        <w:bidi/>
        <w:ind w:firstLine="360"/>
        <w:jc w:val="mediumKashida"/>
        <w:rPr>
          <w:rtl/>
          <w:lang w:bidi="fa-IR"/>
        </w:rPr>
      </w:pPr>
      <w:r w:rsidRPr="005C2283">
        <w:rPr>
          <w:rFonts w:hint="cs"/>
          <w:rtl/>
          <w:lang w:bidi="fa-IR"/>
        </w:rPr>
        <w:t>در زمینه محدود کردن مفهوم نظم عمومی و کاربرد معیار نظم عمومی بین‌المللی، دادگاه‌ها اهمیت قطعیت آراء را که خود جنبه‌ای از نظم عمومی است، به</w:t>
      </w:r>
      <w:r>
        <w:rPr>
          <w:rFonts w:hint="cs"/>
          <w:rtl/>
          <w:lang w:bidi="fa-IR"/>
        </w:rPr>
        <w:t xml:space="preserve"> رسمیت شناخته‌اند. </w:t>
      </w:r>
      <w:r w:rsidRPr="005C2283">
        <w:rPr>
          <w:rFonts w:hint="cs"/>
          <w:rtl/>
          <w:lang w:bidi="fa-IR"/>
        </w:rPr>
        <w:t xml:space="preserve">از آن‌جا که یک تفسیر بیش از حد گسترده از مفهوم نظم عمومی قطعیت داوری را نقض و به </w:t>
      </w:r>
      <w:r>
        <w:rPr>
          <w:rFonts w:hint="cs"/>
          <w:rtl/>
          <w:lang w:bidi="fa-IR"/>
        </w:rPr>
        <w:t>تبع آن اهداف داوری را مختل می‌کند، اصولاً معیار</w:t>
      </w:r>
      <w:r w:rsidRPr="005C2283">
        <w:rPr>
          <w:rFonts w:hint="cs"/>
          <w:rtl/>
          <w:lang w:bidi="fa-IR"/>
        </w:rPr>
        <w:t xml:space="preserve"> نظم عمومی به طور مضیق</w:t>
      </w:r>
      <w:r>
        <w:rPr>
          <w:rFonts w:hint="cs"/>
          <w:rtl/>
          <w:lang w:bidi="fa-IR"/>
        </w:rPr>
        <w:t xml:space="preserve"> مورد تفسیر قرار می‌گیرد</w:t>
      </w:r>
      <w:r w:rsidRPr="005C2283">
        <w:rPr>
          <w:rFonts w:hint="cs"/>
          <w:rtl/>
          <w:lang w:bidi="fa-IR"/>
        </w:rPr>
        <w:t xml:space="preserve">. </w:t>
      </w:r>
    </w:p>
    <w:p w:rsidR="003602AD" w:rsidRPr="005C2283" w:rsidRDefault="003602AD" w:rsidP="004C2DA3">
      <w:pPr>
        <w:bidi/>
        <w:ind w:firstLine="360"/>
        <w:jc w:val="mediumKashida"/>
        <w:rPr>
          <w:rtl/>
          <w:lang w:bidi="fa-IR"/>
        </w:rPr>
      </w:pPr>
      <w:r>
        <w:rPr>
          <w:rFonts w:hint="cs"/>
          <w:rtl/>
          <w:lang w:bidi="fa-IR"/>
        </w:rPr>
        <w:t xml:space="preserve">دامنه </w:t>
      </w:r>
      <w:r w:rsidRPr="005C2283">
        <w:rPr>
          <w:rFonts w:hint="cs"/>
          <w:rtl/>
          <w:lang w:bidi="fa-IR"/>
        </w:rPr>
        <w:t xml:space="preserve">نظم عمومی ممکن است تکامل یابد (البته بسیار به آرامی). معمولاً نظم عمومی قابل اعمال همان نظم مربوط به زمان شناسایی و اجرا می‌باشد. از این رو </w:t>
      </w:r>
      <w:r w:rsidRPr="005C2283">
        <w:rPr>
          <w:rFonts w:hint="cs"/>
          <w:rtl/>
          <w:lang w:bidi="fa-IR"/>
        </w:rPr>
        <w:lastRenderedPageBreak/>
        <w:t>تصویب یک قانون انتظا</w:t>
      </w:r>
      <w:r>
        <w:rPr>
          <w:rFonts w:hint="cs"/>
          <w:rtl/>
          <w:lang w:bidi="fa-IR"/>
        </w:rPr>
        <w:t>می جدید پس از صدور رأی، نباید</w:t>
      </w:r>
      <w:r w:rsidRPr="005C2283">
        <w:rPr>
          <w:rFonts w:hint="cs"/>
          <w:rtl/>
          <w:lang w:bidi="fa-IR"/>
        </w:rPr>
        <w:t xml:space="preserve"> مانعی برای شناسایی و اجرا باشد.</w:t>
      </w:r>
      <w:r w:rsidRPr="005C2283">
        <w:rPr>
          <w:rStyle w:val="FootnoteReference"/>
          <w:rtl/>
          <w:lang w:bidi="fa-IR"/>
        </w:rPr>
        <w:footnoteReference w:id="209"/>
      </w:r>
      <w:r w:rsidRPr="005C2283">
        <w:rPr>
          <w:rFonts w:hint="cs"/>
          <w:rtl/>
          <w:lang w:bidi="fa-IR"/>
        </w:rPr>
        <w:t xml:space="preserve"> </w:t>
      </w:r>
    </w:p>
    <w:p w:rsidR="003602AD" w:rsidRPr="005C2283" w:rsidRDefault="003602AD" w:rsidP="004C2DA3">
      <w:pPr>
        <w:bidi/>
        <w:ind w:firstLine="360"/>
        <w:jc w:val="mediumKashida"/>
        <w:rPr>
          <w:rtl/>
          <w:lang w:bidi="fa-IR"/>
        </w:rPr>
      </w:pPr>
      <w:r w:rsidRPr="005C2283">
        <w:rPr>
          <w:rFonts w:hint="cs"/>
          <w:rtl/>
          <w:lang w:bidi="fa-IR"/>
        </w:rPr>
        <w:t>نظم عمومی(</w:t>
      </w:r>
      <w:r>
        <w:rPr>
          <w:rFonts w:hint="cs"/>
          <w:rtl/>
          <w:lang w:bidi="fa-IR"/>
        </w:rPr>
        <w:t>مندرج در قسمت</w:t>
      </w:r>
      <w:r w:rsidRPr="005C2283">
        <w:rPr>
          <w:rFonts w:hint="cs"/>
          <w:rtl/>
          <w:lang w:bidi="fa-IR"/>
        </w:rPr>
        <w:t xml:space="preserve"> (</w:t>
      </w:r>
      <w:r>
        <w:rPr>
          <w:rFonts w:hint="cs"/>
          <w:rtl/>
          <w:lang w:bidi="fa-IR"/>
        </w:rPr>
        <w:t>ب</w:t>
      </w:r>
      <w:r w:rsidRPr="005C2283">
        <w:rPr>
          <w:rFonts w:hint="cs"/>
          <w:rtl/>
          <w:lang w:bidi="fa-IR"/>
        </w:rPr>
        <w:t>)</w:t>
      </w:r>
      <w:r>
        <w:rPr>
          <w:rFonts w:hint="cs"/>
          <w:rtl/>
          <w:lang w:bidi="fa-IR"/>
        </w:rPr>
        <w:t xml:space="preserve"> بند (2) ماده 5 کنوانسیون نیویورک و همچنین در قسمت</w:t>
      </w:r>
      <w:r w:rsidRPr="005C2283">
        <w:rPr>
          <w:rFonts w:hint="cs"/>
          <w:rtl/>
          <w:lang w:bidi="fa-IR"/>
        </w:rPr>
        <w:t xml:space="preserve"> (</w:t>
      </w:r>
      <w:r>
        <w:rPr>
          <w:rFonts w:hint="cs"/>
          <w:rtl/>
          <w:lang w:bidi="fa-IR"/>
        </w:rPr>
        <w:t>دو</w:t>
      </w:r>
      <w:r w:rsidRPr="005C2283">
        <w:rPr>
          <w:rFonts w:hint="cs"/>
          <w:rtl/>
          <w:lang w:bidi="fa-IR"/>
        </w:rPr>
        <w:t>)(</w:t>
      </w:r>
      <w:r>
        <w:rPr>
          <w:rFonts w:hint="cs"/>
          <w:rtl/>
          <w:lang w:bidi="fa-IR"/>
        </w:rPr>
        <w:t>ب</w:t>
      </w:r>
      <w:r w:rsidRPr="005C2283">
        <w:rPr>
          <w:rFonts w:hint="cs"/>
          <w:rtl/>
          <w:lang w:bidi="fa-IR"/>
        </w:rPr>
        <w:t>)</w:t>
      </w:r>
      <w:r>
        <w:rPr>
          <w:rFonts w:hint="cs"/>
          <w:rtl/>
          <w:lang w:bidi="fa-IR"/>
        </w:rPr>
        <w:t xml:space="preserve"> بند (1) ماده 36</w:t>
      </w:r>
      <w:r w:rsidRPr="005C2283">
        <w:rPr>
          <w:rFonts w:hint="cs"/>
          <w:rtl/>
          <w:lang w:bidi="fa-IR"/>
        </w:rPr>
        <w:t xml:space="preserve">) به وضوح </w:t>
      </w:r>
      <w:r>
        <w:rPr>
          <w:rFonts w:hint="cs"/>
          <w:rtl/>
          <w:lang w:bidi="fa-IR"/>
        </w:rPr>
        <w:t>با مسئله عدم قابلیت دعوی در قسمت</w:t>
      </w:r>
      <w:r w:rsidRPr="005C2283">
        <w:rPr>
          <w:rFonts w:hint="cs"/>
          <w:rtl/>
          <w:lang w:bidi="fa-IR"/>
        </w:rPr>
        <w:t xml:space="preserve"> (</w:t>
      </w:r>
      <w:r>
        <w:rPr>
          <w:rFonts w:hint="cs"/>
          <w:rtl/>
          <w:lang w:bidi="fa-IR"/>
        </w:rPr>
        <w:t>الف</w:t>
      </w:r>
      <w:r w:rsidRPr="005C2283">
        <w:rPr>
          <w:rFonts w:hint="cs"/>
          <w:rtl/>
          <w:lang w:bidi="fa-IR"/>
        </w:rPr>
        <w:t>)</w:t>
      </w:r>
      <w:r>
        <w:rPr>
          <w:rFonts w:hint="cs"/>
          <w:rtl/>
          <w:lang w:bidi="fa-IR"/>
        </w:rPr>
        <w:t xml:space="preserve"> بند (2) ماده 5</w:t>
      </w:r>
      <w:r w:rsidRPr="005C2283">
        <w:rPr>
          <w:rFonts w:hint="cs"/>
          <w:rtl/>
          <w:lang w:bidi="fa-IR"/>
        </w:rPr>
        <w:t xml:space="preserve"> و </w:t>
      </w:r>
      <w:r>
        <w:rPr>
          <w:rFonts w:hint="cs"/>
          <w:rtl/>
          <w:lang w:bidi="fa-IR"/>
        </w:rPr>
        <w:t>قسمت</w:t>
      </w:r>
      <w:r w:rsidRPr="005C2283">
        <w:rPr>
          <w:rFonts w:hint="cs"/>
          <w:rtl/>
          <w:lang w:bidi="fa-IR"/>
        </w:rPr>
        <w:t>(</w:t>
      </w:r>
      <w:r>
        <w:rPr>
          <w:rFonts w:hint="cs"/>
          <w:rtl/>
          <w:lang w:bidi="fa-IR"/>
        </w:rPr>
        <w:t>یک</w:t>
      </w:r>
      <w:r w:rsidRPr="005C2283">
        <w:rPr>
          <w:rFonts w:hint="cs"/>
          <w:rtl/>
          <w:lang w:bidi="fa-IR"/>
        </w:rPr>
        <w:t>)(</w:t>
      </w:r>
      <w:r>
        <w:rPr>
          <w:rFonts w:hint="cs"/>
          <w:rtl/>
          <w:lang w:bidi="fa-IR"/>
        </w:rPr>
        <w:t>ب</w:t>
      </w:r>
      <w:r w:rsidRPr="005C2283">
        <w:rPr>
          <w:rFonts w:hint="cs"/>
          <w:rtl/>
          <w:lang w:bidi="fa-IR"/>
        </w:rPr>
        <w:t>)</w:t>
      </w:r>
      <w:r>
        <w:rPr>
          <w:rFonts w:hint="cs"/>
          <w:rtl/>
          <w:lang w:bidi="fa-IR"/>
        </w:rPr>
        <w:t xml:space="preserve"> بند (1) ماده 36 مرتبط است، چرا که مقرر می‌دارد:</w:t>
      </w:r>
      <w:r w:rsidRPr="005C2283">
        <w:rPr>
          <w:rFonts w:hint="cs"/>
          <w:rtl/>
          <w:lang w:bidi="fa-IR"/>
        </w:rPr>
        <w:t xml:space="preserve"> شناسایی و اجرای رأی داوری خارجی ممکن است مورد امتناع واقع شود اگر: </w:t>
      </w:r>
      <w:r w:rsidRPr="00E20A8B">
        <w:rPr>
          <w:rFonts w:hint="cs"/>
          <w:rtl/>
          <w:lang w:bidi="fa-IR"/>
        </w:rPr>
        <w:t>"موضوع اصلی اختلاف به موجب قانون آن کشور توسط داوری قابل حل و فصل نباشد."</w:t>
      </w:r>
      <w:r w:rsidRPr="00E20A8B">
        <w:rPr>
          <w:rStyle w:val="FootnoteReference"/>
          <w:rtl/>
          <w:lang w:bidi="fa-IR"/>
        </w:rPr>
        <w:footnoteReference w:id="210"/>
      </w:r>
      <w:r w:rsidRPr="00E20A8B">
        <w:rPr>
          <w:rFonts w:hint="cs"/>
          <w:rtl/>
          <w:lang w:bidi="fa-IR"/>
        </w:rPr>
        <w:t>.</w:t>
      </w:r>
      <w:r w:rsidRPr="005C2283">
        <w:rPr>
          <w:rFonts w:hint="cs"/>
          <w:rtl/>
          <w:lang w:bidi="fa-IR"/>
        </w:rPr>
        <w:t xml:space="preserve"> </w:t>
      </w:r>
      <w:r>
        <w:rPr>
          <w:rFonts w:hint="cs"/>
          <w:rtl/>
          <w:lang w:bidi="fa-IR"/>
        </w:rPr>
        <w:t>پروفسور وان‌دنبرگ معتقد است که به‌طور کلی پذیرفته شده است که عدم قابلیت داوری بخشی از مفهوم کلی نظم عمومی است و به نظر می‌رسد قسمت الف بند 2 ماده 5 زائد می‌باشد. با وجود این‌که عدم قابلیت داوری در مفهوم کلی نظم عمومی قرار د ارد، می‌توان گفت، تمایزی که به موجب کنوانسیون نیویورک و قانون نمونه آنسیترال میان این دو ایجاد شده، در راستای شفافیت هر چه بیشتر بوده است</w:t>
      </w:r>
      <w:r w:rsidRPr="005C2283">
        <w:rPr>
          <w:rFonts w:hint="cs"/>
          <w:rtl/>
          <w:lang w:bidi="fa-IR"/>
        </w:rPr>
        <w:t>.</w:t>
      </w:r>
      <w:r w:rsidRPr="005C2283">
        <w:rPr>
          <w:rStyle w:val="FootnoteReference"/>
          <w:rtl/>
          <w:lang w:bidi="fa-IR"/>
        </w:rPr>
        <w:footnoteReference w:id="211"/>
      </w:r>
    </w:p>
    <w:p w:rsidR="003602AD" w:rsidRDefault="003602AD" w:rsidP="004C2DA3">
      <w:pPr>
        <w:bidi/>
        <w:ind w:firstLine="360"/>
        <w:jc w:val="mediumKashida"/>
        <w:rPr>
          <w:lang w:bidi="fa-IR"/>
        </w:rPr>
      </w:pPr>
    </w:p>
    <w:p w:rsidR="003602AD" w:rsidRDefault="003602AD" w:rsidP="000A47F6">
      <w:pPr>
        <w:pStyle w:val="Heading3"/>
        <w:rPr>
          <w:rtl/>
        </w:rPr>
      </w:pPr>
      <w:bookmarkStart w:id="32" w:name="_Toc397212659"/>
      <w:r>
        <w:rPr>
          <w:rFonts w:hint="cs"/>
          <w:rtl/>
        </w:rPr>
        <w:t xml:space="preserve">3-1) </w:t>
      </w:r>
      <w:r w:rsidRPr="00E32FD4">
        <w:rPr>
          <w:rFonts w:hint="cs"/>
          <w:rtl/>
        </w:rPr>
        <w:t>قطعیت آرای داوری تجاری بین‌المللی</w:t>
      </w:r>
      <w:bookmarkEnd w:id="32"/>
    </w:p>
    <w:p w:rsidR="00B4725C" w:rsidRPr="00B4725C" w:rsidRDefault="00B4725C" w:rsidP="004C2DA3">
      <w:pPr>
        <w:bidi/>
        <w:ind w:firstLine="360"/>
        <w:rPr>
          <w:rtl/>
          <w:lang w:bidi="fa-IR"/>
        </w:rPr>
      </w:pPr>
    </w:p>
    <w:p w:rsidR="003602AD" w:rsidRPr="00AF2737" w:rsidRDefault="003602AD" w:rsidP="004C2DA3">
      <w:pPr>
        <w:bidi/>
        <w:ind w:firstLine="360"/>
        <w:jc w:val="mediumKashida"/>
        <w:rPr>
          <w:rFonts w:cs="Times New Roman"/>
          <w:rtl/>
          <w:lang w:bidi="fa-IR"/>
        </w:rPr>
      </w:pPr>
      <w:r>
        <w:rPr>
          <w:rFonts w:hint="cs"/>
          <w:rtl/>
          <w:lang w:bidi="fa-IR"/>
        </w:rPr>
        <w:t xml:space="preserve">کمیته داوری تجاری بین‌المللی، موسسه حقوق بین‌الملل در گزارش کنفرانس سال 2002 دهلی‌نو در مورد معیار نظم عمومی در زمینه ممانعت از شناسایی و </w:t>
      </w:r>
      <w:r>
        <w:rPr>
          <w:rFonts w:hint="cs"/>
          <w:rtl/>
          <w:lang w:bidi="fa-IR"/>
        </w:rPr>
        <w:lastRenderedPageBreak/>
        <w:t xml:space="preserve">اجرای آرای داوری بین‌المللی، توصیه‌هایی نیز ارائه نمود. در قسمت (الف) توصیه شماره (1) ذکر شده است: </w:t>
      </w:r>
      <w:r>
        <w:rPr>
          <w:rFonts w:cs="Times New Roman" w:hint="cs"/>
          <w:rtl/>
          <w:lang w:bidi="fa-IR"/>
        </w:rPr>
        <w:t>"</w:t>
      </w:r>
      <w:r>
        <w:rPr>
          <w:rFonts w:hint="cs"/>
          <w:rtl/>
          <w:lang w:bidi="fa-IR"/>
        </w:rPr>
        <w:t>قطعیت آراء صادره در زمینه داوری تجاری بین‌المللی، جز در شرایط استثنایی، باید مورد احترام واقع شود</w:t>
      </w:r>
      <w:r w:rsidRPr="000C365E">
        <w:rPr>
          <w:rFonts w:hint="cs"/>
          <w:rtl/>
          <w:lang w:bidi="fa-IR"/>
        </w:rPr>
        <w:t>." در قسمت دیگری از گزارش مذکور</w:t>
      </w:r>
      <w:r>
        <w:rPr>
          <w:rFonts w:hint="cs"/>
          <w:rtl/>
          <w:lang w:bidi="fa-IR"/>
        </w:rPr>
        <w:t xml:space="preserve"> به این نکته اشاره شده است که، مقصود اصلی نویسندگان پیش‌نویس کنوانسیون نیویورک دراین راستا بوده که ممانعت از اجرای آراء، فقط در موارد و شرایط محدود صورت گیرد (موارد مذکور در ماده 5). این مهم مدنظر تدوین‌کنندگان قانون نمونه آنسیترال نیز قرار داشته است (موارد مندرج در ماده 36). در این گزارش همچنین اذعان شده است که دادگاهی که از آن تقاضای اجرای رأی می‌گردد، باید میان اجرای عدالت و قطعیت آراء تعادل برقرار نماید. کنوانسیون نیویورک و قانون نمونه آنسیترال مجوز این عمل را با قائل شدن به صلاحیت احتیاطی برای دادگاه، صادر نموده‌اند.به عنوان مثال در این متون قانونی، عبارت «اجرای رأی </w:t>
      </w:r>
      <w:r w:rsidRPr="00AF2737">
        <w:rPr>
          <w:rFonts w:hint="cs"/>
          <w:rtl/>
          <w:lang w:bidi="fa-IR"/>
        </w:rPr>
        <w:t>"ممکن"</w:t>
      </w:r>
      <w:r>
        <w:rPr>
          <w:rFonts w:hint="cs"/>
          <w:rtl/>
          <w:lang w:bidi="fa-IR"/>
        </w:rPr>
        <w:t xml:space="preserve"> مورد انکار واقع شود.»، مؤید این مجوز است.</w:t>
      </w:r>
      <w:r>
        <w:rPr>
          <w:rStyle w:val="FootnoteReference"/>
          <w:rtl/>
          <w:lang w:bidi="fa-IR"/>
        </w:rPr>
        <w:footnoteReference w:id="212"/>
      </w:r>
    </w:p>
    <w:p w:rsidR="003602AD" w:rsidRPr="00A63C93" w:rsidRDefault="003602AD" w:rsidP="004C2DA3">
      <w:pPr>
        <w:bidi/>
        <w:ind w:firstLine="360"/>
        <w:jc w:val="mediumKashida"/>
        <w:rPr>
          <w:sz w:val="32"/>
          <w:szCs w:val="32"/>
          <w:rtl/>
          <w:lang w:bidi="fa-IR"/>
        </w:rPr>
      </w:pPr>
      <w:r>
        <w:rPr>
          <w:rFonts w:hint="cs"/>
          <w:rtl/>
          <w:lang w:bidi="fa-IR"/>
        </w:rPr>
        <w:t>در برخی</w:t>
      </w:r>
      <w:r w:rsidRPr="005C2283">
        <w:rPr>
          <w:rFonts w:hint="cs"/>
          <w:rtl/>
          <w:lang w:bidi="fa-IR"/>
        </w:rPr>
        <w:t xml:space="preserve"> از کشورها دادگاه‌ها</w:t>
      </w:r>
      <w:r>
        <w:rPr>
          <w:rFonts w:hint="cs"/>
          <w:rtl/>
          <w:lang w:bidi="fa-IR"/>
        </w:rPr>
        <w:t xml:space="preserve"> به این نکته اشاره داشته‌اند:</w:t>
      </w:r>
      <w:r w:rsidRPr="005C2283">
        <w:rPr>
          <w:rFonts w:hint="cs"/>
          <w:rtl/>
          <w:lang w:bidi="fa-IR"/>
        </w:rPr>
        <w:t xml:space="preserve"> تا آن‌جا که ممکن است</w:t>
      </w:r>
      <w:r>
        <w:rPr>
          <w:rFonts w:hint="cs"/>
          <w:rtl/>
          <w:lang w:bidi="fa-IR"/>
        </w:rPr>
        <w:t xml:space="preserve"> نظم عمومی</w:t>
      </w:r>
      <w:r w:rsidRPr="005C2283">
        <w:rPr>
          <w:rFonts w:hint="cs"/>
          <w:rtl/>
          <w:lang w:bidi="fa-IR"/>
        </w:rPr>
        <w:t xml:space="preserve"> به نفع قطعیت آرای داو</w:t>
      </w:r>
      <w:r>
        <w:rPr>
          <w:rFonts w:hint="cs"/>
          <w:rtl/>
          <w:lang w:bidi="fa-IR"/>
        </w:rPr>
        <w:t xml:space="preserve">ری تجاری بین‌المللی ترتیب اثر </w:t>
      </w:r>
      <w:r w:rsidRPr="005C2283">
        <w:rPr>
          <w:rFonts w:hint="cs"/>
          <w:rtl/>
          <w:lang w:bidi="fa-IR"/>
        </w:rPr>
        <w:t>‌یابد</w:t>
      </w:r>
      <w:r>
        <w:rPr>
          <w:rFonts w:hint="cs"/>
          <w:rtl/>
          <w:lang w:bidi="fa-IR"/>
        </w:rPr>
        <w:t xml:space="preserve">. همچنین </w:t>
      </w:r>
      <w:r w:rsidRPr="005C2283">
        <w:rPr>
          <w:rFonts w:hint="cs"/>
          <w:rtl/>
          <w:lang w:bidi="fa-IR"/>
        </w:rPr>
        <w:t xml:space="preserve">رسیدگی مجدد </w:t>
      </w:r>
      <w:r>
        <w:rPr>
          <w:rFonts w:hint="cs"/>
          <w:rtl/>
          <w:lang w:bidi="fa-IR"/>
        </w:rPr>
        <w:t xml:space="preserve">به </w:t>
      </w:r>
      <w:r w:rsidR="001C7348">
        <w:rPr>
          <w:rFonts w:hint="cs"/>
          <w:rtl/>
          <w:lang w:bidi="fa-IR"/>
        </w:rPr>
        <w:t>پرونده‌هایی</w:t>
      </w:r>
      <w:r w:rsidRPr="005C2283">
        <w:rPr>
          <w:rFonts w:hint="cs"/>
          <w:rtl/>
          <w:lang w:bidi="fa-IR"/>
        </w:rPr>
        <w:t xml:space="preserve"> که قبلا </w:t>
      </w:r>
      <w:r>
        <w:rPr>
          <w:rFonts w:hint="cs"/>
          <w:rtl/>
          <w:lang w:bidi="fa-IR"/>
        </w:rPr>
        <w:t xml:space="preserve">حکمشان صادر شده را بی‌اساس </w:t>
      </w:r>
      <w:r w:rsidRPr="005C2283">
        <w:rPr>
          <w:rFonts w:hint="cs"/>
          <w:rtl/>
          <w:lang w:bidi="fa-IR"/>
        </w:rPr>
        <w:t>دا</w:t>
      </w:r>
      <w:r>
        <w:rPr>
          <w:rFonts w:hint="cs"/>
          <w:rtl/>
          <w:lang w:bidi="fa-IR"/>
        </w:rPr>
        <w:t>نسته‌ان</w:t>
      </w:r>
      <w:r w:rsidRPr="005C2283">
        <w:rPr>
          <w:rFonts w:hint="cs"/>
          <w:rtl/>
          <w:lang w:bidi="fa-IR"/>
        </w:rPr>
        <w:t>د. این موضوع</w:t>
      </w:r>
      <w:r>
        <w:rPr>
          <w:rFonts w:hint="cs"/>
          <w:rtl/>
          <w:lang w:bidi="fa-IR"/>
        </w:rPr>
        <w:t xml:space="preserve"> را می‌توان</w:t>
      </w:r>
      <w:r w:rsidRPr="005C2283">
        <w:rPr>
          <w:rFonts w:hint="cs"/>
          <w:rtl/>
          <w:lang w:bidi="fa-IR"/>
        </w:rPr>
        <w:t xml:space="preserve"> </w:t>
      </w:r>
      <w:r>
        <w:rPr>
          <w:rFonts w:hint="cs"/>
          <w:rtl/>
          <w:lang w:bidi="fa-IR"/>
        </w:rPr>
        <w:t xml:space="preserve">حاکی از </w:t>
      </w:r>
      <w:r w:rsidR="001C7348">
        <w:rPr>
          <w:rFonts w:hint="cs"/>
          <w:rtl/>
          <w:lang w:bidi="fa-IR"/>
        </w:rPr>
        <w:t>"تمایل به حمایت از اجرای رأی</w:t>
      </w:r>
      <w:r w:rsidRPr="005C2283">
        <w:rPr>
          <w:rFonts w:hint="cs"/>
          <w:rtl/>
          <w:lang w:bidi="fa-IR"/>
        </w:rPr>
        <w:t xml:space="preserve"> به صورت </w:t>
      </w:r>
      <w:r>
        <w:rPr>
          <w:rFonts w:hint="cs"/>
          <w:rtl/>
          <w:lang w:bidi="fa-IR"/>
        </w:rPr>
        <w:t>کلی" در کنوانسیون نیویورک دانست</w:t>
      </w:r>
      <w:r w:rsidRPr="005C2283">
        <w:rPr>
          <w:rFonts w:hint="cs"/>
          <w:rtl/>
          <w:lang w:bidi="fa-IR"/>
        </w:rPr>
        <w:t>.</w:t>
      </w:r>
      <w:r w:rsidRPr="00A63C93">
        <w:rPr>
          <w:rStyle w:val="FootnoteReference"/>
          <w:sz w:val="32"/>
          <w:szCs w:val="32"/>
          <w:rtl/>
          <w:lang w:bidi="fa-IR"/>
        </w:rPr>
        <w:footnoteReference w:id="213"/>
      </w:r>
    </w:p>
    <w:p w:rsidR="003602AD" w:rsidRPr="005C2283" w:rsidRDefault="003602AD" w:rsidP="004C2DA3">
      <w:pPr>
        <w:bidi/>
        <w:ind w:firstLine="360"/>
        <w:jc w:val="mediumKashida"/>
        <w:rPr>
          <w:rtl/>
          <w:lang w:bidi="fa-IR"/>
        </w:rPr>
      </w:pPr>
      <w:r w:rsidRPr="005C2283">
        <w:rPr>
          <w:rFonts w:hint="cs"/>
          <w:rtl/>
          <w:lang w:bidi="fa-IR"/>
        </w:rPr>
        <w:lastRenderedPageBreak/>
        <w:t>در پرونده</w:t>
      </w:r>
      <w:r>
        <w:rPr>
          <w:rFonts w:hint="cs"/>
          <w:rtl/>
          <w:lang w:bidi="fa-IR"/>
        </w:rPr>
        <w:t xml:space="preserve"> شرکت میتسوبیشی در مقابل شرکت سولر کرایسلر پلیموت</w:t>
      </w:r>
      <w:r>
        <w:rPr>
          <w:rStyle w:val="FootnoteReference"/>
          <w:rtl/>
          <w:lang w:bidi="fa-IR"/>
        </w:rPr>
        <w:footnoteReference w:id="214"/>
      </w:r>
      <w:r w:rsidRPr="005C2283">
        <w:rPr>
          <w:rFonts w:hint="cs"/>
          <w:rtl/>
          <w:lang w:bidi="fa-IR"/>
        </w:rPr>
        <w:t xml:space="preserve"> در سال 1985، دادگاه استیناف ایالات متحده آمریکا دوباره</w:t>
      </w:r>
      <w:r>
        <w:rPr>
          <w:rFonts w:hint="cs"/>
          <w:rtl/>
          <w:lang w:bidi="fa-IR"/>
        </w:rPr>
        <w:t xml:space="preserve"> نظریه</w:t>
      </w:r>
      <w:r w:rsidRPr="005C2283">
        <w:rPr>
          <w:rFonts w:hint="cs"/>
          <w:rtl/>
          <w:lang w:bidi="fa-IR"/>
        </w:rPr>
        <w:t xml:space="preserve"> قوی خود را در مورد حمایت و</w:t>
      </w:r>
      <w:r w:rsidRPr="00A63C93">
        <w:rPr>
          <w:rFonts w:hint="cs"/>
          <w:sz w:val="32"/>
          <w:szCs w:val="32"/>
          <w:rtl/>
          <w:lang w:bidi="fa-IR"/>
        </w:rPr>
        <w:t xml:space="preserve"> </w:t>
      </w:r>
      <w:r w:rsidRPr="005C2283">
        <w:rPr>
          <w:rFonts w:hint="cs"/>
          <w:rtl/>
          <w:lang w:bidi="fa-IR"/>
        </w:rPr>
        <w:t xml:space="preserve">جانبداری از قراردادها و آرای داوری بین‌المللی در پرتو نزاکت بین‌المللی، احترم به صلاحیت‌های دیوان‌های </w:t>
      </w:r>
      <w:r>
        <w:rPr>
          <w:rFonts w:hint="cs"/>
          <w:rtl/>
          <w:lang w:bidi="fa-IR"/>
        </w:rPr>
        <w:t xml:space="preserve">بین‌المللی وفراملی </w:t>
      </w:r>
      <w:r w:rsidRPr="005C2283">
        <w:rPr>
          <w:rFonts w:hint="cs"/>
          <w:rtl/>
          <w:lang w:bidi="fa-IR"/>
        </w:rPr>
        <w:t>و</w:t>
      </w:r>
      <w:r>
        <w:rPr>
          <w:rFonts w:hint="cs"/>
          <w:rtl/>
          <w:lang w:bidi="fa-IR"/>
        </w:rPr>
        <w:t xml:space="preserve"> توجه</w:t>
      </w:r>
      <w:r w:rsidRPr="005C2283">
        <w:rPr>
          <w:rFonts w:hint="cs"/>
          <w:rtl/>
          <w:lang w:bidi="fa-IR"/>
        </w:rPr>
        <w:t xml:space="preserve"> به نیاز نظام تجارت بین‌الملل برای پیش‌بینی پذیری حل و فصل اختلافات، بیان داشت.</w:t>
      </w:r>
      <w:r w:rsidRPr="005C2283">
        <w:rPr>
          <w:rStyle w:val="FootnoteReference"/>
          <w:rtl/>
          <w:lang w:bidi="fa-IR"/>
        </w:rPr>
        <w:footnoteReference w:id="215"/>
      </w:r>
      <w:r>
        <w:rPr>
          <w:rFonts w:hint="cs"/>
          <w:rtl/>
          <w:lang w:bidi="fa-IR"/>
        </w:rPr>
        <w:t xml:space="preserve"> د</w:t>
      </w:r>
      <w:r w:rsidRPr="005C2283">
        <w:rPr>
          <w:rFonts w:hint="cs"/>
          <w:rtl/>
          <w:lang w:bidi="fa-IR"/>
        </w:rPr>
        <w:t>ر</w:t>
      </w:r>
      <w:r>
        <w:rPr>
          <w:rFonts w:hint="cs"/>
          <w:rtl/>
          <w:lang w:bidi="fa-IR"/>
        </w:rPr>
        <w:t xml:space="preserve"> همین راستا </w:t>
      </w:r>
      <w:r w:rsidRPr="005C2283">
        <w:rPr>
          <w:rFonts w:hint="cs"/>
          <w:rtl/>
          <w:lang w:bidi="fa-IR"/>
        </w:rPr>
        <w:t>یک قاضی سنگاپوری در سال 1996 بیان</w:t>
      </w:r>
      <w:r>
        <w:rPr>
          <w:rFonts w:hint="cs"/>
          <w:rtl/>
          <w:lang w:bidi="fa-IR"/>
        </w:rPr>
        <w:t xml:space="preserve"> داشت</w:t>
      </w:r>
      <w:r w:rsidRPr="005C2283">
        <w:rPr>
          <w:rFonts w:hint="cs"/>
          <w:rtl/>
          <w:lang w:bidi="fa-IR"/>
        </w:rPr>
        <w:t xml:space="preserve">: </w:t>
      </w:r>
      <w:r w:rsidRPr="005C2283">
        <w:rPr>
          <w:rFonts w:cs="Times New Roman" w:hint="cs"/>
          <w:rtl/>
          <w:lang w:bidi="fa-IR"/>
        </w:rPr>
        <w:t>"</w:t>
      </w:r>
      <w:r w:rsidRPr="005C2283">
        <w:rPr>
          <w:rFonts w:hint="cs"/>
          <w:rtl/>
          <w:lang w:bidi="fa-IR"/>
        </w:rPr>
        <w:t xml:space="preserve">اصل </w:t>
      </w:r>
      <w:r>
        <w:rPr>
          <w:rFonts w:hint="cs"/>
          <w:rtl/>
          <w:lang w:bidi="fa-IR"/>
        </w:rPr>
        <w:t xml:space="preserve">نزاکت بین‌المللی </w:t>
      </w:r>
      <w:r w:rsidRPr="005C2283">
        <w:rPr>
          <w:rFonts w:hint="cs"/>
          <w:rtl/>
          <w:lang w:bidi="fa-IR"/>
        </w:rPr>
        <w:t>مستلزم آن است که آرای دیوان‌ه</w:t>
      </w:r>
      <w:r>
        <w:rPr>
          <w:rFonts w:hint="cs"/>
          <w:rtl/>
          <w:lang w:bidi="fa-IR"/>
        </w:rPr>
        <w:t>ای داوری بین‌المللی</w:t>
      </w:r>
      <w:r w:rsidRPr="005C2283">
        <w:rPr>
          <w:rFonts w:hint="cs"/>
          <w:rtl/>
          <w:lang w:bidi="fa-IR"/>
        </w:rPr>
        <w:t xml:space="preserve"> </w:t>
      </w:r>
      <w:r>
        <w:rPr>
          <w:rFonts w:hint="cs"/>
          <w:rtl/>
          <w:lang w:bidi="fa-IR"/>
        </w:rPr>
        <w:t xml:space="preserve">معتبر فرض شده </w:t>
      </w:r>
      <w:r w:rsidRPr="005C2283">
        <w:rPr>
          <w:rFonts w:hint="cs"/>
          <w:rtl/>
          <w:lang w:bidi="fa-IR"/>
        </w:rPr>
        <w:t xml:space="preserve">و </w:t>
      </w:r>
      <w:r>
        <w:rPr>
          <w:rFonts w:hint="cs"/>
          <w:rtl/>
          <w:lang w:bidi="fa-IR"/>
        </w:rPr>
        <w:t>به اجرا درآی</w:t>
      </w:r>
      <w:r w:rsidRPr="005C2283">
        <w:rPr>
          <w:rFonts w:hint="cs"/>
          <w:rtl/>
          <w:lang w:bidi="fa-IR"/>
        </w:rPr>
        <w:t>ند</w:t>
      </w:r>
      <w:r>
        <w:rPr>
          <w:rFonts w:hint="cs"/>
          <w:rtl/>
          <w:lang w:bidi="fa-IR"/>
        </w:rPr>
        <w:t>،</w:t>
      </w:r>
      <w:r w:rsidRPr="005C2283">
        <w:rPr>
          <w:rFonts w:hint="cs"/>
          <w:rtl/>
          <w:lang w:bidi="fa-IR"/>
        </w:rPr>
        <w:t xml:space="preserve"> مگر در صورت وجود شرایط استثنایی</w:t>
      </w:r>
      <w:r w:rsidRPr="005C2283">
        <w:rPr>
          <w:rFonts w:cs="Times New Roman" w:hint="cs"/>
          <w:rtl/>
          <w:lang w:bidi="fa-IR"/>
        </w:rPr>
        <w:t>"</w:t>
      </w:r>
      <w:r w:rsidRPr="005C2283">
        <w:rPr>
          <w:rFonts w:hint="cs"/>
          <w:rtl/>
          <w:lang w:bidi="fa-IR"/>
        </w:rPr>
        <w:t>.</w:t>
      </w:r>
      <w:r w:rsidRPr="005C2283">
        <w:rPr>
          <w:rStyle w:val="FootnoteReference"/>
          <w:rtl/>
          <w:lang w:bidi="fa-IR"/>
        </w:rPr>
        <w:footnoteReference w:id="216"/>
      </w:r>
      <w:r w:rsidRPr="005C2283">
        <w:rPr>
          <w:rFonts w:hint="cs"/>
          <w:rtl/>
          <w:lang w:bidi="fa-IR"/>
        </w:rPr>
        <w:t xml:space="preserve"> </w:t>
      </w:r>
    </w:p>
    <w:p w:rsidR="003602AD" w:rsidRPr="00E32FD4" w:rsidRDefault="003602AD" w:rsidP="004C2DA3">
      <w:pPr>
        <w:bidi/>
        <w:ind w:firstLine="360"/>
        <w:jc w:val="mediumKashida"/>
        <w:rPr>
          <w:rtl/>
          <w:lang w:bidi="fa-IR"/>
        </w:rPr>
      </w:pPr>
      <w:r>
        <w:rPr>
          <w:rFonts w:hint="cs"/>
          <w:rtl/>
          <w:lang w:bidi="fa-IR"/>
        </w:rPr>
        <w:t>بسیاری از دادگاه‌ها مشخصاً اعمال نظم عمومی به وجهی</w:t>
      </w:r>
      <w:r w:rsidRPr="005C2283">
        <w:rPr>
          <w:rFonts w:hint="cs"/>
          <w:rtl/>
          <w:lang w:bidi="fa-IR"/>
        </w:rPr>
        <w:t xml:space="preserve"> که</w:t>
      </w:r>
      <w:r>
        <w:rPr>
          <w:rFonts w:hint="cs"/>
          <w:rtl/>
          <w:lang w:bidi="fa-IR"/>
        </w:rPr>
        <w:t xml:space="preserve"> در جهت</w:t>
      </w:r>
      <w:r w:rsidRPr="005C2283">
        <w:rPr>
          <w:rFonts w:hint="cs"/>
          <w:rtl/>
          <w:lang w:bidi="fa-IR"/>
        </w:rPr>
        <w:t xml:space="preserve"> طرفدار</w:t>
      </w:r>
      <w:r>
        <w:rPr>
          <w:rFonts w:hint="cs"/>
          <w:rtl/>
          <w:lang w:bidi="fa-IR"/>
        </w:rPr>
        <w:t xml:space="preserve">ی از </w:t>
      </w:r>
      <w:r w:rsidRPr="005C2283">
        <w:rPr>
          <w:rFonts w:hint="cs"/>
          <w:rtl/>
          <w:lang w:bidi="fa-IR"/>
        </w:rPr>
        <w:t>اجرا</w:t>
      </w:r>
      <w:r>
        <w:rPr>
          <w:rFonts w:hint="cs"/>
          <w:rtl/>
          <w:lang w:bidi="fa-IR"/>
        </w:rPr>
        <w:t>ی رأی</w:t>
      </w:r>
      <w:r w:rsidRPr="005C2283">
        <w:rPr>
          <w:rFonts w:hint="cs"/>
          <w:rtl/>
          <w:lang w:bidi="fa-IR"/>
        </w:rPr>
        <w:t xml:space="preserve"> باشد را </w:t>
      </w:r>
      <w:r>
        <w:rPr>
          <w:rFonts w:hint="cs"/>
          <w:rtl/>
          <w:lang w:bidi="fa-IR"/>
        </w:rPr>
        <w:t>مناسب دانسته‌‌اند.</w:t>
      </w:r>
      <w:r w:rsidRPr="005C2283">
        <w:rPr>
          <w:rFonts w:hint="cs"/>
          <w:rtl/>
          <w:lang w:bidi="fa-IR"/>
        </w:rPr>
        <w:t xml:space="preserve"> </w:t>
      </w:r>
      <w:r>
        <w:rPr>
          <w:rFonts w:hint="cs"/>
          <w:rtl/>
          <w:lang w:bidi="fa-IR"/>
        </w:rPr>
        <w:t>برای مثال در</w:t>
      </w:r>
      <w:r w:rsidRPr="005C2283">
        <w:rPr>
          <w:rFonts w:hint="cs"/>
          <w:rtl/>
          <w:lang w:bidi="fa-IR"/>
        </w:rPr>
        <w:t xml:space="preserve"> پرونده </w:t>
      </w:r>
      <w:r>
        <w:rPr>
          <w:rFonts w:hint="cs"/>
          <w:rtl/>
          <w:lang w:bidi="fa-IR"/>
        </w:rPr>
        <w:t>او تی‌ وی برابر هیلمارتن کشمکشی</w:t>
      </w:r>
      <w:r w:rsidRPr="005C2283">
        <w:rPr>
          <w:rFonts w:hint="cs"/>
          <w:rtl/>
          <w:lang w:bidi="fa-IR"/>
        </w:rPr>
        <w:t xml:space="preserve"> طولانی و معروف میان این دو کمپانی</w:t>
      </w:r>
      <w:r>
        <w:rPr>
          <w:rFonts w:hint="cs"/>
          <w:rtl/>
          <w:lang w:bidi="fa-IR"/>
        </w:rPr>
        <w:t xml:space="preserve"> وجود داشت، که رسیدگی</w:t>
      </w:r>
      <w:r w:rsidRPr="005C2283">
        <w:rPr>
          <w:rFonts w:hint="cs"/>
          <w:rtl/>
          <w:lang w:bidi="fa-IR"/>
        </w:rPr>
        <w:t xml:space="preserve"> به </w:t>
      </w:r>
      <w:r>
        <w:rPr>
          <w:rFonts w:hint="cs"/>
          <w:rtl/>
          <w:lang w:bidi="fa-IR"/>
        </w:rPr>
        <w:t>آن به انگلستان واگذار شد (بعد از رسیدگی‌های مکرر</w:t>
      </w:r>
      <w:r w:rsidRPr="005C2283">
        <w:rPr>
          <w:rFonts w:hint="cs"/>
          <w:rtl/>
          <w:lang w:bidi="fa-IR"/>
        </w:rPr>
        <w:t xml:space="preserve"> در دادگاه‌های سوئیس و فرانسه). </w:t>
      </w:r>
      <w:r>
        <w:rPr>
          <w:rFonts w:hint="cs"/>
          <w:rtl/>
          <w:lang w:bidi="fa-IR"/>
        </w:rPr>
        <w:t xml:space="preserve">با </w:t>
      </w:r>
      <w:r w:rsidRPr="005C2283">
        <w:rPr>
          <w:rFonts w:hint="cs"/>
          <w:rtl/>
          <w:lang w:bidi="fa-IR"/>
        </w:rPr>
        <w:t xml:space="preserve">هیلمارتن به منظور </w:t>
      </w:r>
      <w:r>
        <w:rPr>
          <w:rFonts w:hint="cs"/>
          <w:rtl/>
          <w:lang w:bidi="fa-IR"/>
        </w:rPr>
        <w:t xml:space="preserve">انجام </w:t>
      </w:r>
      <w:r w:rsidRPr="005C2283">
        <w:rPr>
          <w:rFonts w:hint="cs"/>
          <w:rtl/>
          <w:lang w:bidi="fa-IR"/>
        </w:rPr>
        <w:t xml:space="preserve">خدمات عمومی </w:t>
      </w:r>
      <w:r>
        <w:rPr>
          <w:rFonts w:hint="cs"/>
          <w:rtl/>
          <w:lang w:bidi="fa-IR"/>
        </w:rPr>
        <w:t>قرارداد منعقد شده بود. از سویی</w:t>
      </w:r>
      <w:r w:rsidRPr="005C2283">
        <w:rPr>
          <w:rFonts w:hint="cs"/>
          <w:rtl/>
          <w:lang w:bidi="fa-IR"/>
        </w:rPr>
        <w:t xml:space="preserve"> مقامات دولت الجزایر </w:t>
      </w:r>
      <w:r>
        <w:rPr>
          <w:rFonts w:hint="cs"/>
          <w:rtl/>
          <w:lang w:bidi="fa-IR"/>
        </w:rPr>
        <w:t>درصدد برآمده بودند که</w:t>
      </w:r>
      <w:r w:rsidRPr="005C2283">
        <w:rPr>
          <w:rFonts w:hint="cs"/>
          <w:rtl/>
          <w:lang w:bidi="fa-IR"/>
        </w:rPr>
        <w:t xml:space="preserve"> پروژه‌های زهکشی</w:t>
      </w:r>
      <w:r>
        <w:rPr>
          <w:rFonts w:hint="cs"/>
          <w:rtl/>
          <w:lang w:bidi="fa-IR"/>
        </w:rPr>
        <w:t xml:space="preserve"> در الجزایر را</w:t>
      </w:r>
      <w:r w:rsidRPr="005C2283">
        <w:rPr>
          <w:rFonts w:hint="cs"/>
          <w:rtl/>
          <w:lang w:bidi="fa-IR"/>
        </w:rPr>
        <w:t xml:space="preserve"> </w:t>
      </w:r>
      <w:r>
        <w:rPr>
          <w:rFonts w:hint="cs"/>
          <w:rtl/>
          <w:lang w:bidi="fa-IR"/>
        </w:rPr>
        <w:t xml:space="preserve">به </w:t>
      </w:r>
      <w:r w:rsidRPr="005C2283">
        <w:rPr>
          <w:rFonts w:hint="cs"/>
          <w:rtl/>
          <w:lang w:bidi="fa-IR"/>
        </w:rPr>
        <w:t xml:space="preserve">او تی وی </w:t>
      </w:r>
      <w:r>
        <w:rPr>
          <w:rFonts w:hint="cs"/>
          <w:rtl/>
          <w:lang w:bidi="fa-IR"/>
        </w:rPr>
        <w:t>واگذار کنند</w:t>
      </w:r>
      <w:r w:rsidRPr="005C2283">
        <w:rPr>
          <w:rFonts w:hint="cs"/>
          <w:rtl/>
          <w:lang w:bidi="fa-IR"/>
        </w:rPr>
        <w:t xml:space="preserve">. چنین فعالیتی ناقض قانون الجزایر بود که مداخله واسطه‌ها را در ارتباط با هر قرارداد عمومی در حوزه تجارت خارجی ممنوع کرده بود. هیلمارتن ادعایی مبنی بر هزینه‌های مشاوره پرداخت نشده، اقامه </w:t>
      </w:r>
      <w:r>
        <w:rPr>
          <w:rFonts w:hint="cs"/>
          <w:rtl/>
          <w:lang w:bidi="fa-IR"/>
        </w:rPr>
        <w:t>کرد. داوری مستقر در ژنو که بر طبق قانون سوئیس به دعاوی رسیدگی می‌نمود،</w:t>
      </w:r>
      <w:r w:rsidRPr="005C2283">
        <w:rPr>
          <w:rFonts w:hint="cs"/>
          <w:rtl/>
          <w:lang w:bidi="fa-IR"/>
        </w:rPr>
        <w:t xml:space="preserve"> رأی به </w:t>
      </w:r>
      <w:r w:rsidRPr="005C2283">
        <w:rPr>
          <w:rFonts w:hint="cs"/>
          <w:rtl/>
          <w:lang w:bidi="fa-IR"/>
        </w:rPr>
        <w:lastRenderedPageBreak/>
        <w:t xml:space="preserve">نفع هیلمارتن صادر کرد. </w:t>
      </w:r>
      <w:r>
        <w:rPr>
          <w:rFonts w:hint="cs"/>
          <w:rtl/>
          <w:lang w:bidi="fa-IR"/>
        </w:rPr>
        <w:t xml:space="preserve">اعلام داشت که </w:t>
      </w:r>
      <w:r w:rsidRPr="005C2283">
        <w:rPr>
          <w:rFonts w:hint="cs"/>
          <w:rtl/>
          <w:lang w:bidi="fa-IR"/>
        </w:rPr>
        <w:t>در فقدان ادله اثبات رشوه‌خواری، قرارداد ب</w:t>
      </w:r>
      <w:r>
        <w:rPr>
          <w:rFonts w:hint="cs"/>
          <w:rtl/>
          <w:lang w:bidi="fa-IR"/>
        </w:rPr>
        <w:t>ه موجب قانون سوئیس غیر قانونی نمی‌باش</w:t>
      </w:r>
      <w:r w:rsidRPr="005C2283">
        <w:rPr>
          <w:rFonts w:hint="cs"/>
          <w:rtl/>
          <w:lang w:bidi="fa-IR"/>
        </w:rPr>
        <w:t>د. او تی وی با اصرار به دنبال اجرای رأی</w:t>
      </w:r>
      <w:r w:rsidRPr="00E32FD4">
        <w:rPr>
          <w:rFonts w:hint="cs"/>
          <w:rtl/>
          <w:lang w:bidi="fa-IR"/>
        </w:rPr>
        <w:t xml:space="preserve"> در انگلستان بود. قاضی انگلیسی مقرر داشت: </w:t>
      </w:r>
    </w:p>
    <w:p w:rsidR="003602AD" w:rsidRPr="00E32FD4" w:rsidRDefault="003602AD" w:rsidP="004C2DA3">
      <w:pPr>
        <w:bidi/>
        <w:ind w:firstLine="360"/>
        <w:jc w:val="mediumKashida"/>
        <w:rPr>
          <w:lang w:bidi="fa-IR"/>
        </w:rPr>
      </w:pPr>
      <w:r w:rsidRPr="00E32FD4">
        <w:rPr>
          <w:rFonts w:hint="cs"/>
          <w:sz w:val="24"/>
          <w:szCs w:val="24"/>
          <w:rtl/>
          <w:lang w:bidi="fa-IR"/>
        </w:rPr>
        <w:t>"من قرارداد اصلی</w:t>
      </w:r>
      <w:r w:rsidRPr="00E32FD4">
        <w:rPr>
          <w:sz w:val="24"/>
          <w:szCs w:val="24"/>
          <w:lang w:bidi="fa-IR"/>
        </w:rPr>
        <w:t xml:space="preserve"> </w:t>
      </w:r>
      <w:r w:rsidRPr="00E32FD4">
        <w:rPr>
          <w:rFonts w:hint="cs"/>
          <w:sz w:val="24"/>
          <w:szCs w:val="24"/>
          <w:rtl/>
          <w:lang w:bidi="fa-IR"/>
        </w:rPr>
        <w:t>را مورد  قضاوت قرار نمی‌دهم. فقط در این زمینه تصمیم‌ می‌گیرم که آیا رأی داوری بایستی در انگلستان اجرا شود یا نه. در این زمینه به نظرم می‌رسد که (فقدان کشف واقعی شیوه‌های فاسد ممکن است آشکارا منجر به ملاحظات نظم عمومی شود) این یک واقعیت است که قانون انگلیس ممکن به یک نتیجه متفاوت بدون اشاره به هیچ نکته‌ای دست یابد. در واقع علت دست یافتن به نتیجه متفاوت این است که قانون سوئیس با قانون انگلیس فرق دارد، طرفین هم داوری و قانون سوئیس را انتخاب کرده‌اند. به هر طریق در این بررسی تاکید می‌شود (به عنوان خط‌مشیء حمایت از آرای داوری بین‌المللی) که رأی باید اجرا بشود."</w:t>
      </w:r>
      <w:r w:rsidRPr="00E32FD4">
        <w:rPr>
          <w:rStyle w:val="FootnoteReference"/>
          <w:rtl/>
          <w:lang w:bidi="fa-IR"/>
        </w:rPr>
        <w:footnoteReference w:id="217"/>
      </w:r>
    </w:p>
    <w:p w:rsidR="003602AD" w:rsidRPr="00701945" w:rsidRDefault="003602AD" w:rsidP="004C2DA3">
      <w:pPr>
        <w:bidi/>
        <w:ind w:firstLine="360"/>
        <w:jc w:val="mediumKashida"/>
        <w:rPr>
          <w:rtl/>
          <w:lang w:bidi="fa-IR"/>
        </w:rPr>
      </w:pPr>
      <w:r w:rsidRPr="005C2283">
        <w:rPr>
          <w:rFonts w:hint="cs"/>
          <w:rtl/>
          <w:lang w:bidi="fa-IR"/>
        </w:rPr>
        <w:t xml:space="preserve">تعیین این </w:t>
      </w:r>
      <w:r>
        <w:rPr>
          <w:rFonts w:hint="cs"/>
          <w:rtl/>
          <w:lang w:bidi="fa-IR"/>
        </w:rPr>
        <w:t xml:space="preserve">مسئله دشوار </w:t>
      </w:r>
      <w:r w:rsidRPr="005C2283">
        <w:rPr>
          <w:rFonts w:hint="cs"/>
          <w:rtl/>
          <w:lang w:bidi="fa-IR"/>
        </w:rPr>
        <w:t>می‌</w:t>
      </w:r>
      <w:r>
        <w:rPr>
          <w:rFonts w:hint="cs"/>
          <w:rtl/>
          <w:lang w:bidi="fa-IR"/>
        </w:rPr>
        <w:t>باش</w:t>
      </w:r>
      <w:r w:rsidRPr="005C2283">
        <w:rPr>
          <w:rFonts w:hint="cs"/>
          <w:rtl/>
          <w:lang w:bidi="fa-IR"/>
        </w:rPr>
        <w:t>د که آیا دادگاه‌ها در رویه عملی نسبت به درخواست شناسایی و اجر</w:t>
      </w:r>
      <w:r>
        <w:rPr>
          <w:rFonts w:hint="cs"/>
          <w:rtl/>
          <w:lang w:bidi="fa-IR"/>
        </w:rPr>
        <w:t>ای رأی خارجی کمتر از درخواست رد</w:t>
      </w:r>
      <w:r w:rsidRPr="005C2283">
        <w:rPr>
          <w:rFonts w:hint="cs"/>
          <w:rtl/>
          <w:lang w:bidi="fa-IR"/>
        </w:rPr>
        <w:t xml:space="preserve"> رأی صادره در حوزه قضایی خود سخت‌گیر هستند.</w:t>
      </w:r>
      <w:r>
        <w:rPr>
          <w:lang w:bidi="fa-IR"/>
        </w:rPr>
        <w:t xml:space="preserve"> </w:t>
      </w:r>
      <w:r w:rsidRPr="005C2283">
        <w:rPr>
          <w:rFonts w:hint="cs"/>
          <w:rtl/>
          <w:lang w:bidi="fa-IR"/>
        </w:rPr>
        <w:t>دادگاه‌های فرانسه</w:t>
      </w:r>
      <w:r>
        <w:rPr>
          <w:rFonts w:hint="cs"/>
          <w:rtl/>
          <w:lang w:bidi="fa-IR"/>
        </w:rPr>
        <w:t xml:space="preserve"> در این زمینه</w:t>
      </w:r>
      <w:r w:rsidRPr="005C2283">
        <w:rPr>
          <w:rFonts w:hint="cs"/>
          <w:rtl/>
          <w:lang w:bidi="fa-IR"/>
        </w:rPr>
        <w:t xml:space="preserve"> نظریه </w:t>
      </w:r>
      <w:r w:rsidRPr="005C2283">
        <w:rPr>
          <w:rFonts w:cs="Times New Roman" w:hint="cs"/>
          <w:rtl/>
          <w:lang w:bidi="fa-IR"/>
        </w:rPr>
        <w:t>"</w:t>
      </w:r>
      <w:r w:rsidRPr="005C2283">
        <w:rPr>
          <w:rFonts w:hint="cs"/>
          <w:rtl/>
          <w:lang w:bidi="fa-IR"/>
        </w:rPr>
        <w:t>اثر مخفف</w:t>
      </w:r>
      <w:r>
        <w:rPr>
          <w:rFonts w:hint="cs"/>
          <w:rtl/>
          <w:lang w:bidi="fa-IR"/>
        </w:rPr>
        <w:t>ه</w:t>
      </w:r>
      <w:r w:rsidRPr="005C2283">
        <w:rPr>
          <w:rFonts w:hint="cs"/>
          <w:rtl/>
          <w:lang w:bidi="fa-IR"/>
        </w:rPr>
        <w:t xml:space="preserve"> نظم عمومی</w:t>
      </w:r>
      <w:r w:rsidRPr="005C2283">
        <w:rPr>
          <w:rFonts w:cs="Times New Roman" w:hint="cs"/>
          <w:rtl/>
          <w:lang w:bidi="fa-IR"/>
        </w:rPr>
        <w:t>"</w:t>
      </w:r>
      <w:r w:rsidRPr="005C2283">
        <w:rPr>
          <w:rFonts w:hint="cs"/>
          <w:rtl/>
          <w:lang w:bidi="fa-IR"/>
        </w:rPr>
        <w:t xml:space="preserve"> را </w:t>
      </w:r>
      <w:r>
        <w:rPr>
          <w:rFonts w:hint="cs"/>
          <w:rtl/>
          <w:lang w:bidi="fa-IR"/>
        </w:rPr>
        <w:t xml:space="preserve">مطرح و بسط </w:t>
      </w:r>
      <w:r w:rsidRPr="005C2283">
        <w:rPr>
          <w:rFonts w:hint="cs"/>
          <w:rtl/>
          <w:lang w:bidi="fa-IR"/>
        </w:rPr>
        <w:t>دادند.</w:t>
      </w:r>
      <w:r w:rsidRPr="005C2283">
        <w:rPr>
          <w:rStyle w:val="FootnoteReference"/>
          <w:rtl/>
          <w:lang w:bidi="fa-IR"/>
        </w:rPr>
        <w:footnoteReference w:id="218"/>
      </w:r>
      <w:r>
        <w:rPr>
          <w:rFonts w:hint="cs"/>
          <w:rtl/>
          <w:lang w:bidi="fa-IR"/>
        </w:rPr>
        <w:t xml:space="preserve"> بدین‌</w:t>
      </w:r>
      <w:r w:rsidRPr="005C2283">
        <w:rPr>
          <w:rFonts w:hint="cs"/>
          <w:rtl/>
          <w:lang w:bidi="fa-IR"/>
        </w:rPr>
        <w:t xml:space="preserve">معنا که از یک سو میان </w:t>
      </w:r>
      <w:r>
        <w:rPr>
          <w:rFonts w:hint="cs"/>
          <w:rtl/>
          <w:lang w:bidi="fa-IR"/>
        </w:rPr>
        <w:t xml:space="preserve">اثر </w:t>
      </w:r>
      <w:r w:rsidRPr="005C2283">
        <w:rPr>
          <w:rFonts w:hint="cs"/>
          <w:rtl/>
          <w:lang w:bidi="fa-IR"/>
        </w:rPr>
        <w:t xml:space="preserve">نظم عمومی به آثار حقی که قبلاً در خارج </w:t>
      </w:r>
      <w:r>
        <w:rPr>
          <w:rFonts w:hint="cs"/>
          <w:rtl/>
          <w:lang w:bidi="fa-IR"/>
        </w:rPr>
        <w:t>کسب شده و در فرانسه تقاضای اجرا دارد</w:t>
      </w:r>
      <w:r w:rsidRPr="005C2283">
        <w:rPr>
          <w:rFonts w:hint="cs"/>
          <w:rtl/>
          <w:lang w:bidi="fa-IR"/>
        </w:rPr>
        <w:t xml:space="preserve"> و از سوی دیگر </w:t>
      </w:r>
      <w:r>
        <w:rPr>
          <w:rFonts w:hint="cs"/>
          <w:rtl/>
          <w:lang w:bidi="fa-IR"/>
        </w:rPr>
        <w:t xml:space="preserve">اثر </w:t>
      </w:r>
      <w:r w:rsidRPr="005C2283">
        <w:rPr>
          <w:rFonts w:hint="cs"/>
          <w:rtl/>
          <w:lang w:bidi="fa-IR"/>
        </w:rPr>
        <w:t>نظم عمومی به حقی که در فرانسه کسب شده</w:t>
      </w:r>
      <w:r>
        <w:rPr>
          <w:rFonts w:hint="cs"/>
          <w:rtl/>
          <w:lang w:bidi="fa-IR"/>
        </w:rPr>
        <w:t xml:space="preserve">، </w:t>
      </w:r>
      <w:r w:rsidRPr="0072387C">
        <w:rPr>
          <w:rFonts w:hint="cs"/>
          <w:rtl/>
          <w:lang w:bidi="fa-IR"/>
        </w:rPr>
        <w:t>تمایز قائل شدند</w:t>
      </w:r>
      <w:r w:rsidRPr="00A63C93">
        <w:rPr>
          <w:rFonts w:hint="cs"/>
          <w:sz w:val="32"/>
          <w:szCs w:val="32"/>
          <w:rtl/>
          <w:lang w:bidi="fa-IR"/>
        </w:rPr>
        <w:t xml:space="preserve">. </w:t>
      </w:r>
      <w:r w:rsidRPr="00701945">
        <w:rPr>
          <w:rFonts w:hint="cs"/>
          <w:rtl/>
          <w:lang w:bidi="fa-IR"/>
        </w:rPr>
        <w:t>در خصوص مورد اول، ممکن است مطالبات نظم عمومی تقلیل یاب</w:t>
      </w:r>
      <w:r>
        <w:rPr>
          <w:rFonts w:hint="cs"/>
          <w:rtl/>
          <w:lang w:bidi="fa-IR"/>
        </w:rPr>
        <w:t>د</w:t>
      </w:r>
      <w:r w:rsidRPr="00701945">
        <w:rPr>
          <w:rFonts w:hint="cs"/>
          <w:rtl/>
          <w:lang w:bidi="fa-IR"/>
        </w:rPr>
        <w:t xml:space="preserve">، اما در رابطه با مورد دوم آن‌ها با تمام توان نظم عمومی را اعمال می‌کنند. برخی حقوقدانان فرانسوی معتقد هستند که این نظریه هیچ جایگاهی در داوری بین‌المللی ندارد. به دلیل این‌که نظارت دادگاه در زمینه مطابقت با نظم عمومی بین‌المللی در حال حاضر </w:t>
      </w:r>
      <w:r w:rsidRPr="00701945">
        <w:rPr>
          <w:rFonts w:hint="cs"/>
          <w:rtl/>
          <w:lang w:bidi="fa-IR"/>
        </w:rPr>
        <w:lastRenderedPageBreak/>
        <w:t>بسیار ناچیز شده است، حتی در موردی که رأی در فرانسه صادر شده باشد، جایی برای تضعیف بیشتر</w:t>
      </w:r>
      <w:r>
        <w:rPr>
          <w:rFonts w:hint="cs"/>
          <w:rtl/>
          <w:lang w:bidi="fa-IR"/>
        </w:rPr>
        <w:t xml:space="preserve"> نقش نظارتی دادگاه</w:t>
      </w:r>
      <w:r w:rsidRPr="00701945">
        <w:rPr>
          <w:rFonts w:hint="cs"/>
          <w:rtl/>
          <w:lang w:bidi="fa-IR"/>
        </w:rPr>
        <w:t xml:space="preserve"> وجود ندارد.</w:t>
      </w:r>
      <w:r w:rsidRPr="00701945">
        <w:rPr>
          <w:rStyle w:val="FootnoteReference"/>
          <w:rtl/>
          <w:lang w:bidi="fa-IR"/>
        </w:rPr>
        <w:footnoteReference w:id="219"/>
      </w:r>
    </w:p>
    <w:p w:rsidR="003602AD" w:rsidRPr="00A63C93" w:rsidRDefault="003602AD" w:rsidP="004C2DA3">
      <w:pPr>
        <w:bidi/>
        <w:ind w:firstLine="360"/>
        <w:jc w:val="mediumKashida"/>
        <w:rPr>
          <w:sz w:val="32"/>
          <w:szCs w:val="32"/>
          <w:lang w:bidi="fa-IR"/>
        </w:rPr>
      </w:pPr>
      <w:r>
        <w:rPr>
          <w:rFonts w:hint="cs"/>
          <w:rtl/>
          <w:lang w:bidi="fa-IR"/>
        </w:rPr>
        <w:t>به طور کلی این رویه مشاهده می‌شود</w:t>
      </w:r>
      <w:r w:rsidRPr="00701945">
        <w:rPr>
          <w:rFonts w:hint="cs"/>
          <w:rtl/>
          <w:lang w:bidi="fa-IR"/>
        </w:rPr>
        <w:t xml:space="preserve"> که دادگاه‌ها قسمتی از رأی که به نظم عمومی صدمه وارد می‌آورد را تفکیک </w:t>
      </w:r>
      <w:r>
        <w:rPr>
          <w:rFonts w:hint="cs"/>
          <w:rtl/>
          <w:lang w:bidi="fa-IR"/>
        </w:rPr>
        <w:t xml:space="preserve">و کنار گذاشته </w:t>
      </w:r>
      <w:r w:rsidRPr="00701945">
        <w:rPr>
          <w:rFonts w:hint="cs"/>
          <w:rtl/>
          <w:lang w:bidi="fa-IR"/>
        </w:rPr>
        <w:t xml:space="preserve">و بخشی که </w:t>
      </w:r>
      <w:r>
        <w:rPr>
          <w:rFonts w:hint="cs"/>
          <w:rtl/>
          <w:lang w:bidi="fa-IR"/>
        </w:rPr>
        <w:t xml:space="preserve">هجمه‌ای به نظم عمومی وارد نمی‌آورد </w:t>
      </w:r>
      <w:r w:rsidRPr="00701945">
        <w:rPr>
          <w:rFonts w:hint="cs"/>
          <w:rtl/>
          <w:lang w:bidi="fa-IR"/>
        </w:rPr>
        <w:t>را اجرا می‌کنند</w:t>
      </w:r>
      <w:r w:rsidRPr="00A63C93">
        <w:rPr>
          <w:rFonts w:hint="cs"/>
          <w:sz w:val="32"/>
          <w:szCs w:val="32"/>
          <w:rtl/>
          <w:lang w:bidi="fa-IR"/>
        </w:rPr>
        <w:t>.</w:t>
      </w:r>
      <w:r>
        <w:rPr>
          <w:rStyle w:val="FootnoteReference"/>
          <w:sz w:val="32"/>
          <w:szCs w:val="32"/>
          <w:rtl/>
          <w:lang w:bidi="fa-IR"/>
        </w:rPr>
        <w:footnoteReference w:id="220"/>
      </w:r>
    </w:p>
    <w:p w:rsidR="003602AD" w:rsidRPr="00A63C93" w:rsidRDefault="003602AD" w:rsidP="004C2DA3">
      <w:pPr>
        <w:bidi/>
        <w:ind w:firstLine="360"/>
        <w:jc w:val="mediumKashida"/>
        <w:rPr>
          <w:sz w:val="32"/>
          <w:szCs w:val="32"/>
          <w:rtl/>
          <w:lang w:bidi="fa-IR"/>
        </w:rPr>
      </w:pPr>
    </w:p>
    <w:p w:rsidR="003602AD" w:rsidRDefault="003602AD" w:rsidP="000A47F6">
      <w:pPr>
        <w:pStyle w:val="Heading3"/>
        <w:rPr>
          <w:rtl/>
        </w:rPr>
      </w:pPr>
      <w:bookmarkStart w:id="33" w:name="_Toc397212660"/>
      <w:r>
        <w:rPr>
          <w:rFonts w:hint="cs"/>
          <w:rtl/>
        </w:rPr>
        <w:t xml:space="preserve">3-2) </w:t>
      </w:r>
      <w:r w:rsidR="00AE17B9">
        <w:rPr>
          <w:rFonts w:hint="cs"/>
          <w:rtl/>
        </w:rPr>
        <w:t>تقسیم‌بندی ماهوی نظم عمومی</w:t>
      </w:r>
      <w:bookmarkEnd w:id="33"/>
    </w:p>
    <w:p w:rsidR="00AE17B9" w:rsidRPr="00AE17B9" w:rsidRDefault="00AE17B9" w:rsidP="004C2DA3">
      <w:pPr>
        <w:bidi/>
        <w:ind w:firstLine="360"/>
        <w:rPr>
          <w:rtl/>
          <w:lang w:bidi="fa-IR"/>
        </w:rPr>
      </w:pPr>
    </w:p>
    <w:p w:rsidR="003602AD" w:rsidRPr="00E32FD4" w:rsidRDefault="003602AD" w:rsidP="004C2DA3">
      <w:pPr>
        <w:bidi/>
        <w:ind w:firstLine="360"/>
        <w:jc w:val="mediumKashida"/>
        <w:rPr>
          <w:rtl/>
          <w:lang w:bidi="fa-IR"/>
        </w:rPr>
      </w:pPr>
      <w:r>
        <w:rPr>
          <w:rFonts w:hint="cs"/>
          <w:rtl/>
          <w:lang w:bidi="fa-IR"/>
        </w:rPr>
        <w:t>نظم عمومی ماهوی شناسایی حقوق و تعهدات توسط</w:t>
      </w:r>
      <w:r w:rsidRPr="00E32FD4">
        <w:rPr>
          <w:rFonts w:hint="cs"/>
          <w:rtl/>
          <w:lang w:bidi="fa-IR"/>
        </w:rPr>
        <w:t xml:space="preserve"> دیوان یا دادگاه اجرایی در ارتباط با موضوع رأی</w:t>
      </w:r>
      <w:r>
        <w:rPr>
          <w:rFonts w:hint="cs"/>
          <w:rtl/>
          <w:lang w:bidi="fa-IR"/>
        </w:rPr>
        <w:t xml:space="preserve"> را در برمی‌گیرد.</w:t>
      </w:r>
    </w:p>
    <w:p w:rsidR="00AE17B9" w:rsidRPr="00A63C93" w:rsidRDefault="00AE17B9" w:rsidP="0003261B">
      <w:pPr>
        <w:bidi/>
        <w:jc w:val="mediumKashida"/>
        <w:rPr>
          <w:sz w:val="32"/>
          <w:szCs w:val="32"/>
          <w:rtl/>
          <w:lang w:bidi="fa-IR"/>
        </w:rPr>
      </w:pPr>
    </w:p>
    <w:p w:rsidR="003602AD" w:rsidRDefault="003602AD" w:rsidP="00C34789">
      <w:pPr>
        <w:pStyle w:val="Heading4"/>
        <w:rPr>
          <w:rtl/>
        </w:rPr>
      </w:pPr>
      <w:r>
        <w:rPr>
          <w:rFonts w:hint="cs"/>
          <w:rtl/>
        </w:rPr>
        <w:t>3-2-1) قواعد</w:t>
      </w:r>
      <w:r w:rsidRPr="003464FA">
        <w:rPr>
          <w:rFonts w:hint="cs"/>
          <w:rtl/>
        </w:rPr>
        <w:t xml:space="preserve"> الزام‌آور و </w:t>
      </w:r>
      <w:r>
        <w:rPr>
          <w:rFonts w:hint="cs"/>
          <w:rtl/>
        </w:rPr>
        <w:t>قواعد</w:t>
      </w:r>
      <w:r w:rsidRPr="003464FA">
        <w:rPr>
          <w:rFonts w:hint="cs"/>
          <w:rtl/>
        </w:rPr>
        <w:t xml:space="preserve"> انتظامی</w:t>
      </w:r>
    </w:p>
    <w:p w:rsidR="00AE17B9" w:rsidRPr="00AE17B9" w:rsidRDefault="00AE17B9" w:rsidP="004C2DA3">
      <w:pPr>
        <w:bidi/>
        <w:ind w:firstLine="360"/>
        <w:rPr>
          <w:lang w:bidi="fa-IR"/>
        </w:rPr>
      </w:pPr>
    </w:p>
    <w:p w:rsidR="003602AD" w:rsidRPr="00E46264" w:rsidRDefault="003602AD" w:rsidP="004C2DA3">
      <w:pPr>
        <w:bidi/>
        <w:ind w:firstLine="360"/>
        <w:jc w:val="mediumKashida"/>
        <w:rPr>
          <w:lang w:bidi="fa-IR"/>
        </w:rPr>
      </w:pPr>
      <w:r w:rsidRPr="00E46264">
        <w:rPr>
          <w:rFonts w:hint="cs"/>
          <w:rtl/>
          <w:lang w:bidi="fa-IR"/>
        </w:rPr>
        <w:t>پروفسور مایر قاعده الزام‌آور را به شرح زیر توصیف کرده است:</w:t>
      </w:r>
    </w:p>
    <w:p w:rsidR="003602AD" w:rsidRPr="00E46264" w:rsidRDefault="003602AD" w:rsidP="004C2DA3">
      <w:pPr>
        <w:bidi/>
        <w:ind w:firstLine="360"/>
        <w:jc w:val="mediumKashida"/>
        <w:rPr>
          <w:rtl/>
          <w:lang w:bidi="fa-IR"/>
        </w:rPr>
      </w:pPr>
      <w:r w:rsidRPr="00E46264">
        <w:rPr>
          <w:rFonts w:hint="cs"/>
          <w:sz w:val="24"/>
          <w:szCs w:val="24"/>
          <w:rtl/>
          <w:lang w:bidi="fa-IR"/>
        </w:rPr>
        <w:t>"</w:t>
      </w:r>
      <w:r>
        <w:rPr>
          <w:rFonts w:hint="cs"/>
          <w:sz w:val="24"/>
          <w:szCs w:val="24"/>
          <w:rtl/>
          <w:lang w:bidi="fa-IR"/>
        </w:rPr>
        <w:t>قاعده الزام‌آور امری</w:t>
      </w:r>
      <w:r w:rsidRPr="00E46264">
        <w:rPr>
          <w:rFonts w:hint="cs"/>
          <w:sz w:val="24"/>
          <w:szCs w:val="24"/>
          <w:rtl/>
          <w:lang w:bidi="fa-IR"/>
        </w:rPr>
        <w:t xml:space="preserve"> قانونی است که بایستی بدون در نظر گرفتن قانون حاکم بر یک رابطه بین‌المللی بر آن اعمال شود. به عبارت دیگر، قواعد الزام‌</w:t>
      </w:r>
      <w:r>
        <w:rPr>
          <w:rFonts w:hint="cs"/>
          <w:sz w:val="24"/>
          <w:szCs w:val="24"/>
          <w:rtl/>
          <w:lang w:bidi="fa-IR"/>
        </w:rPr>
        <w:t xml:space="preserve">آور یکی از موضوعات مندرج در نظم </w:t>
      </w:r>
      <w:r>
        <w:rPr>
          <w:rFonts w:hint="cs"/>
          <w:sz w:val="24"/>
          <w:szCs w:val="24"/>
          <w:rtl/>
          <w:lang w:bidi="fa-IR"/>
        </w:rPr>
        <w:lastRenderedPageBreak/>
        <w:t>عمومی هستند و به نوعی آن</w:t>
      </w:r>
      <w:r w:rsidRPr="00E46264">
        <w:rPr>
          <w:rFonts w:hint="cs"/>
          <w:sz w:val="24"/>
          <w:szCs w:val="24"/>
          <w:rtl/>
          <w:lang w:bidi="fa-IR"/>
        </w:rPr>
        <w:t xml:space="preserve"> را انعکاس می‌ده</w:t>
      </w:r>
      <w:r>
        <w:rPr>
          <w:rFonts w:hint="cs"/>
          <w:sz w:val="24"/>
          <w:szCs w:val="24"/>
          <w:rtl/>
          <w:lang w:bidi="fa-IR"/>
        </w:rPr>
        <w:t>ند که از</w:t>
      </w:r>
      <w:r w:rsidRPr="00E46264">
        <w:rPr>
          <w:rFonts w:hint="cs"/>
          <w:sz w:val="24"/>
          <w:szCs w:val="24"/>
          <w:rtl/>
          <w:lang w:bidi="fa-IR"/>
        </w:rPr>
        <w:t xml:space="preserve"> قدرت </w:t>
      </w:r>
      <w:r>
        <w:rPr>
          <w:rFonts w:hint="cs"/>
          <w:sz w:val="24"/>
          <w:szCs w:val="24"/>
          <w:rtl/>
          <w:lang w:bidi="fa-IR"/>
        </w:rPr>
        <w:t>بسیاری برخوردار بوده</w:t>
      </w:r>
      <w:r w:rsidRPr="00E46264">
        <w:rPr>
          <w:rFonts w:hint="cs"/>
          <w:sz w:val="24"/>
          <w:szCs w:val="24"/>
          <w:rtl/>
          <w:lang w:bidi="fa-IR"/>
        </w:rPr>
        <w:t xml:space="preserve"> و در هر صورت باید اعمال شو</w:t>
      </w:r>
      <w:r>
        <w:rPr>
          <w:rFonts w:hint="cs"/>
          <w:sz w:val="24"/>
          <w:szCs w:val="24"/>
          <w:rtl/>
          <w:lang w:bidi="fa-IR"/>
        </w:rPr>
        <w:t>ن</w:t>
      </w:r>
      <w:r w:rsidRPr="00E46264">
        <w:rPr>
          <w:rFonts w:hint="cs"/>
          <w:sz w:val="24"/>
          <w:szCs w:val="24"/>
          <w:rtl/>
          <w:lang w:bidi="fa-IR"/>
        </w:rPr>
        <w:t>د."</w:t>
      </w:r>
      <w:r w:rsidRPr="00E46264">
        <w:rPr>
          <w:rStyle w:val="FootnoteReference"/>
          <w:rtl/>
          <w:lang w:bidi="fa-IR"/>
        </w:rPr>
        <w:footnoteReference w:id="221"/>
      </w:r>
      <w:r w:rsidRPr="00E46264">
        <w:rPr>
          <w:rFonts w:hint="cs"/>
          <w:rtl/>
          <w:lang w:bidi="fa-IR"/>
        </w:rPr>
        <w:t xml:space="preserve"> </w:t>
      </w:r>
    </w:p>
    <w:p w:rsidR="003602AD" w:rsidRPr="003464FA" w:rsidRDefault="003602AD" w:rsidP="004C2DA3">
      <w:pPr>
        <w:bidi/>
        <w:ind w:firstLine="360"/>
        <w:jc w:val="mediumKashida"/>
        <w:rPr>
          <w:rtl/>
          <w:lang w:bidi="fa-IR"/>
        </w:rPr>
      </w:pPr>
      <w:r w:rsidRPr="003464FA">
        <w:rPr>
          <w:rFonts w:hint="cs"/>
          <w:rtl/>
          <w:lang w:bidi="fa-IR"/>
        </w:rPr>
        <w:t xml:space="preserve">مایر همچنین </w:t>
      </w:r>
      <w:r>
        <w:rPr>
          <w:rFonts w:hint="cs"/>
          <w:rtl/>
          <w:lang w:bidi="fa-IR"/>
        </w:rPr>
        <w:t>اشاره می‌کند که از جمله</w:t>
      </w:r>
      <w:r w:rsidRPr="003464FA">
        <w:rPr>
          <w:rFonts w:hint="cs"/>
          <w:rtl/>
          <w:lang w:bidi="fa-IR"/>
        </w:rPr>
        <w:t xml:space="preserve"> قواعد الزام‌آور حقوقی که </w:t>
      </w:r>
      <w:r>
        <w:rPr>
          <w:rFonts w:hint="cs"/>
          <w:rtl/>
          <w:lang w:bidi="fa-IR"/>
        </w:rPr>
        <w:t>اغلب با آن‌ها مواجه می‌شویم؛</w:t>
      </w:r>
      <w:r w:rsidRPr="003464FA">
        <w:rPr>
          <w:rFonts w:hint="cs"/>
          <w:rtl/>
          <w:lang w:bidi="fa-IR"/>
        </w:rPr>
        <w:t xml:space="preserve"> قوانین مربوط به رقابت، کنترل نرخ ارز، قوانین حفاظت از محیط زیست، اقدامات تحر</w:t>
      </w:r>
      <w:r>
        <w:rPr>
          <w:rFonts w:hint="cs"/>
          <w:rtl/>
          <w:lang w:bidi="fa-IR"/>
        </w:rPr>
        <w:t>یمی، محاصره یا تحریم اقتصادی،</w:t>
      </w:r>
      <w:r w:rsidRPr="003464FA">
        <w:rPr>
          <w:rFonts w:hint="cs"/>
          <w:rtl/>
          <w:lang w:bidi="fa-IR"/>
        </w:rPr>
        <w:t xml:space="preserve"> قوانینی که به منظور حمایت از طرف‌هایی وضع شده‌اند که در جایگاه پایین‌تری در معامله قرار دارند، مانند مزدبگیران یا کارگزاران تجاری.</w:t>
      </w:r>
    </w:p>
    <w:p w:rsidR="003602AD" w:rsidRPr="003464FA" w:rsidRDefault="003602AD" w:rsidP="004C2DA3">
      <w:pPr>
        <w:bidi/>
        <w:ind w:firstLine="360"/>
        <w:jc w:val="mediumKashida"/>
        <w:rPr>
          <w:rtl/>
          <w:lang w:bidi="fa-IR"/>
        </w:rPr>
      </w:pPr>
      <w:r w:rsidRPr="003464FA">
        <w:rPr>
          <w:rFonts w:hint="cs"/>
          <w:rtl/>
          <w:lang w:bidi="fa-IR"/>
        </w:rPr>
        <w:t xml:space="preserve">حوزه‌هایی که یک دیوان بین‌المللی باید قواعد الزام‌آور را در آن‌ها مورد توجه قرار دهد، شامل: قانون حاکم بر روابط طرفین، قانون متبوع دادگاه ، هر گونه نظم </w:t>
      </w:r>
      <w:r>
        <w:rPr>
          <w:rFonts w:hint="cs"/>
          <w:rtl/>
          <w:lang w:bidi="fa-IR"/>
        </w:rPr>
        <w:t>فراملی، قانون بالقوه محل اجرا می‌باشد.ذکر</w:t>
      </w:r>
      <w:r w:rsidRPr="003464FA">
        <w:rPr>
          <w:rFonts w:hint="cs"/>
          <w:rtl/>
          <w:lang w:bidi="fa-IR"/>
        </w:rPr>
        <w:t xml:space="preserve"> شده است که این</w:t>
      </w:r>
      <w:r>
        <w:rPr>
          <w:rFonts w:hint="cs"/>
          <w:rtl/>
          <w:lang w:bidi="fa-IR"/>
        </w:rPr>
        <w:t xml:space="preserve"> مورد</w:t>
      </w:r>
      <w:r w:rsidRPr="003464FA">
        <w:rPr>
          <w:rFonts w:hint="cs"/>
          <w:rtl/>
          <w:lang w:bidi="fa-IR"/>
        </w:rPr>
        <w:t xml:space="preserve"> یکی از پیچیده‌ترین مو</w:t>
      </w:r>
      <w:r>
        <w:rPr>
          <w:rFonts w:hint="cs"/>
          <w:rtl/>
          <w:lang w:bidi="fa-IR"/>
        </w:rPr>
        <w:t>ارد</w:t>
      </w:r>
      <w:r w:rsidRPr="003464FA">
        <w:rPr>
          <w:rFonts w:hint="cs"/>
          <w:rtl/>
          <w:lang w:bidi="fa-IR"/>
        </w:rPr>
        <w:t xml:space="preserve"> داوری بین‌المللی می‌باشد. </w:t>
      </w:r>
      <w:r w:rsidRPr="003464FA">
        <w:rPr>
          <w:rStyle w:val="FootnoteReference"/>
          <w:rtl/>
          <w:lang w:bidi="fa-IR"/>
        </w:rPr>
        <w:footnoteReference w:id="222"/>
      </w:r>
    </w:p>
    <w:p w:rsidR="003602AD" w:rsidRPr="00A63C93" w:rsidRDefault="003602AD" w:rsidP="004C2DA3">
      <w:pPr>
        <w:pStyle w:val="ListParagraph"/>
        <w:bidi/>
        <w:ind w:left="0" w:firstLine="360"/>
        <w:jc w:val="mediumKashida"/>
        <w:rPr>
          <w:b/>
          <w:bCs/>
          <w:sz w:val="32"/>
          <w:szCs w:val="32"/>
          <w:rtl/>
          <w:lang w:bidi="fa-IR"/>
        </w:rPr>
      </w:pPr>
    </w:p>
    <w:p w:rsidR="003602AD" w:rsidRDefault="003602AD" w:rsidP="00C34789">
      <w:pPr>
        <w:pStyle w:val="Heading4"/>
        <w:rPr>
          <w:rtl/>
        </w:rPr>
      </w:pPr>
      <w:r>
        <w:rPr>
          <w:rFonts w:hint="cs"/>
          <w:rtl/>
        </w:rPr>
        <w:t xml:space="preserve">3-2-2) </w:t>
      </w:r>
      <w:r w:rsidR="00514D0B">
        <w:rPr>
          <w:rFonts w:hint="cs"/>
          <w:rtl/>
        </w:rPr>
        <w:t>اصول کلی حقوقی</w:t>
      </w:r>
    </w:p>
    <w:p w:rsidR="00514D0B" w:rsidRPr="00514D0B" w:rsidRDefault="00514D0B" w:rsidP="004C2DA3">
      <w:pPr>
        <w:bidi/>
        <w:ind w:firstLine="360"/>
        <w:rPr>
          <w:rtl/>
          <w:lang w:bidi="fa-IR"/>
        </w:rPr>
      </w:pPr>
    </w:p>
    <w:p w:rsidR="003602AD" w:rsidRPr="00491CEE" w:rsidRDefault="003602AD" w:rsidP="004C2DA3">
      <w:pPr>
        <w:bidi/>
        <w:ind w:firstLine="360"/>
        <w:jc w:val="mediumKashida"/>
        <w:rPr>
          <w:rtl/>
          <w:lang w:bidi="fa-IR"/>
        </w:rPr>
      </w:pPr>
      <w:r>
        <w:rPr>
          <w:rFonts w:hint="cs"/>
          <w:rtl/>
          <w:lang w:bidi="fa-IR"/>
        </w:rPr>
        <w:t>اصول کلی حقوق می‌تواند هم</w:t>
      </w:r>
      <w:r w:rsidRPr="00701945">
        <w:rPr>
          <w:rFonts w:hint="cs"/>
          <w:rtl/>
          <w:lang w:bidi="fa-IR"/>
        </w:rPr>
        <w:t xml:space="preserve"> یک بخش متمایز از قواعد الزام‌آور باشد یا نباشد. برخی از دادگاه‌ها از این عبارت برای اشاره به اصول کلی‌تر به جای مفاد قانونی خاص استفاده می‌کنند. برای مثال، در سوئیس، هنگامی که یکی از طرفین تمایل به استناد به نقض نظم عمومی</w:t>
      </w:r>
      <w:r>
        <w:rPr>
          <w:rFonts w:hint="cs"/>
          <w:rtl/>
          <w:lang w:bidi="fa-IR"/>
        </w:rPr>
        <w:t xml:space="preserve"> در راستای عدم اجرای رأی به موجب</w:t>
      </w:r>
      <w:r w:rsidRPr="00701945">
        <w:rPr>
          <w:rFonts w:hint="cs"/>
          <w:rtl/>
          <w:lang w:bidi="fa-IR"/>
        </w:rPr>
        <w:t xml:space="preserve"> حقوق بین‌المل</w:t>
      </w:r>
      <w:r>
        <w:rPr>
          <w:rFonts w:hint="cs"/>
          <w:rtl/>
          <w:lang w:bidi="fa-IR"/>
        </w:rPr>
        <w:t xml:space="preserve">ل </w:t>
      </w:r>
      <w:r>
        <w:rPr>
          <w:rFonts w:hint="cs"/>
          <w:rtl/>
          <w:lang w:bidi="fa-IR"/>
        </w:rPr>
        <w:lastRenderedPageBreak/>
        <w:t>خصوصی سوئیس را داشته باشد</w:t>
      </w:r>
      <w:r w:rsidRPr="00701945">
        <w:rPr>
          <w:rFonts w:hint="cs"/>
          <w:rtl/>
          <w:lang w:bidi="fa-IR"/>
        </w:rPr>
        <w:t>، باید عیناً ثابت کند که کدام اصل اساسی حقوقی توسط رأی</w:t>
      </w:r>
      <w:r>
        <w:rPr>
          <w:rFonts w:hint="cs"/>
          <w:rtl/>
          <w:lang w:bidi="fa-IR"/>
        </w:rPr>
        <w:t xml:space="preserve"> مورد نظر</w:t>
      </w:r>
      <w:r w:rsidRPr="00701945">
        <w:rPr>
          <w:rFonts w:hint="cs"/>
          <w:rtl/>
          <w:lang w:bidi="fa-IR"/>
        </w:rPr>
        <w:t xml:space="preserve"> نقض شده است.</w:t>
      </w:r>
      <w:r w:rsidRPr="00701945">
        <w:rPr>
          <w:rStyle w:val="FootnoteReference"/>
          <w:rtl/>
          <w:lang w:bidi="fa-IR"/>
        </w:rPr>
        <w:footnoteReference w:id="223"/>
      </w:r>
      <w:r w:rsidRPr="00701945">
        <w:rPr>
          <w:rFonts w:hint="cs"/>
          <w:rtl/>
          <w:lang w:bidi="fa-IR"/>
        </w:rPr>
        <w:t xml:space="preserve"> از جمله این اصول می‌توان از: وفای به عهد، ممنوعیت سوءاستفاده از قانون، اصل حسن نیت، منع تبعیض، منع سلب مالکیت بدون پرداخت عوض و غیره نام برد.</w:t>
      </w:r>
      <w:r>
        <w:rPr>
          <w:rStyle w:val="FootnoteReference"/>
          <w:rtl/>
          <w:lang w:bidi="fa-IR"/>
        </w:rPr>
        <w:footnoteReference w:id="224"/>
      </w:r>
      <w:r>
        <w:rPr>
          <w:rFonts w:hint="cs"/>
          <w:rtl/>
          <w:lang w:bidi="fa-IR"/>
        </w:rPr>
        <w:t xml:space="preserve"> </w:t>
      </w:r>
      <w:r w:rsidRPr="00701945">
        <w:rPr>
          <w:rFonts w:hint="cs"/>
          <w:rtl/>
          <w:lang w:bidi="fa-IR"/>
        </w:rPr>
        <w:t>در صورتی که برای یک حقوقدان نظام ح</w:t>
      </w:r>
      <w:r>
        <w:rPr>
          <w:rFonts w:hint="cs"/>
          <w:rtl/>
          <w:lang w:bidi="fa-IR"/>
        </w:rPr>
        <w:t>قوقی کامن‌لا اشاره</w:t>
      </w:r>
      <w:r w:rsidRPr="00701945">
        <w:rPr>
          <w:rFonts w:hint="cs"/>
          <w:rtl/>
          <w:lang w:bidi="fa-IR"/>
        </w:rPr>
        <w:t xml:space="preserve"> به حسن نیت </w:t>
      </w:r>
      <w:r>
        <w:rPr>
          <w:rFonts w:hint="cs"/>
          <w:rtl/>
          <w:lang w:bidi="fa-IR"/>
        </w:rPr>
        <w:t xml:space="preserve">در این زمینه </w:t>
      </w:r>
      <w:r w:rsidRPr="00701945">
        <w:rPr>
          <w:rFonts w:hint="cs"/>
          <w:rtl/>
          <w:lang w:bidi="fa-IR"/>
        </w:rPr>
        <w:t>می‌تواند تعجب‌آور باشد</w:t>
      </w:r>
      <w:r>
        <w:rPr>
          <w:rFonts w:hint="cs"/>
          <w:sz w:val="32"/>
          <w:szCs w:val="32"/>
          <w:rtl/>
          <w:lang w:bidi="fa-IR"/>
        </w:rPr>
        <w:t>، اما</w:t>
      </w:r>
      <w:r>
        <w:rPr>
          <w:rFonts w:hint="cs"/>
          <w:rtl/>
          <w:lang w:bidi="fa-IR"/>
        </w:rPr>
        <w:t xml:space="preserve"> </w:t>
      </w:r>
      <w:r w:rsidRPr="00701945">
        <w:rPr>
          <w:rFonts w:hint="cs"/>
          <w:rtl/>
          <w:lang w:bidi="fa-IR"/>
        </w:rPr>
        <w:t>دادگا</w:t>
      </w:r>
      <w:r>
        <w:rPr>
          <w:rFonts w:hint="cs"/>
          <w:rtl/>
          <w:lang w:bidi="fa-IR"/>
        </w:rPr>
        <w:t>ه استیناف پاریس در این مورد اظهار نمود که</w:t>
      </w:r>
      <w:r w:rsidRPr="00701945">
        <w:rPr>
          <w:rFonts w:hint="cs"/>
          <w:rtl/>
          <w:lang w:bidi="fa-IR"/>
        </w:rPr>
        <w:t xml:space="preserve"> "اصل</w:t>
      </w:r>
      <w:r>
        <w:rPr>
          <w:rFonts w:hint="cs"/>
          <w:rtl/>
          <w:lang w:bidi="fa-IR"/>
        </w:rPr>
        <w:t>ی</w:t>
      </w:r>
      <w:r w:rsidRPr="00701945">
        <w:rPr>
          <w:rFonts w:hint="cs"/>
          <w:rtl/>
          <w:lang w:bidi="fa-IR"/>
        </w:rPr>
        <w:t xml:space="preserve"> کلی </w:t>
      </w:r>
      <w:r>
        <w:rPr>
          <w:rFonts w:hint="cs"/>
          <w:rtl/>
          <w:lang w:bidi="fa-IR"/>
        </w:rPr>
        <w:t>در دامنه</w:t>
      </w:r>
      <w:r w:rsidRPr="00701945">
        <w:rPr>
          <w:rFonts w:hint="cs"/>
          <w:rtl/>
          <w:lang w:bidi="fa-IR"/>
        </w:rPr>
        <w:t xml:space="preserve"> نظم عمومی بین‌المللی وجود دارد که به موجب آن قراردادها باید با حسن نیت ایفاء شوند</w:t>
      </w:r>
      <w:r w:rsidRPr="00701945">
        <w:rPr>
          <w:rFonts w:cs="Times New Roman" w:hint="cs"/>
          <w:rtl/>
          <w:lang w:bidi="fa-IR"/>
        </w:rPr>
        <w:t>"</w:t>
      </w:r>
      <w:r w:rsidRPr="00701945">
        <w:rPr>
          <w:rFonts w:hint="cs"/>
          <w:rtl/>
          <w:lang w:bidi="fa-IR"/>
        </w:rPr>
        <w:t>.</w:t>
      </w:r>
      <w:r w:rsidRPr="00701945">
        <w:rPr>
          <w:rStyle w:val="FootnoteReference"/>
          <w:rtl/>
          <w:lang w:bidi="fa-IR"/>
        </w:rPr>
        <w:footnoteReference w:id="225"/>
      </w:r>
      <w:r>
        <w:rPr>
          <w:rFonts w:hint="cs"/>
          <w:rtl/>
          <w:lang w:bidi="fa-IR"/>
        </w:rPr>
        <w:t xml:space="preserve"> </w:t>
      </w:r>
    </w:p>
    <w:p w:rsidR="003602AD" w:rsidRPr="00701945" w:rsidRDefault="003602AD" w:rsidP="004C2DA3">
      <w:pPr>
        <w:bidi/>
        <w:ind w:firstLine="360"/>
        <w:jc w:val="mediumKashida"/>
        <w:rPr>
          <w:rtl/>
          <w:lang w:bidi="fa-IR"/>
        </w:rPr>
      </w:pPr>
      <w:r w:rsidRPr="00701945">
        <w:rPr>
          <w:rFonts w:hint="cs"/>
          <w:rtl/>
          <w:lang w:bidi="fa-IR"/>
        </w:rPr>
        <w:t>قوانین ماهوی بسیاری از کشورها رأی مبتنی بر خسارات تنبیهی را مجاز نمی‌دانند. برای مثال آلمان.</w:t>
      </w:r>
      <w:r w:rsidRPr="00701945">
        <w:rPr>
          <w:rStyle w:val="FootnoteReference"/>
          <w:rtl/>
          <w:lang w:bidi="fa-IR"/>
        </w:rPr>
        <w:footnoteReference w:id="226"/>
      </w:r>
      <w:r w:rsidRPr="00701945">
        <w:rPr>
          <w:rFonts w:hint="cs"/>
          <w:rtl/>
          <w:lang w:bidi="fa-IR"/>
        </w:rPr>
        <w:t xml:space="preserve"> </w:t>
      </w:r>
      <w:r>
        <w:rPr>
          <w:rFonts w:hint="cs"/>
          <w:rtl/>
          <w:lang w:bidi="fa-IR"/>
        </w:rPr>
        <w:t>تقاضای خسار</w:t>
      </w:r>
      <w:r w:rsidRPr="00701945">
        <w:rPr>
          <w:rFonts w:hint="cs"/>
          <w:rtl/>
          <w:lang w:bidi="fa-IR"/>
        </w:rPr>
        <w:t xml:space="preserve">ت تنبیهی در </w:t>
      </w:r>
      <w:r>
        <w:rPr>
          <w:rFonts w:hint="cs"/>
          <w:rtl/>
          <w:lang w:bidi="fa-IR"/>
        </w:rPr>
        <w:t xml:space="preserve">محکمه </w:t>
      </w:r>
      <w:r w:rsidRPr="00701945">
        <w:rPr>
          <w:rFonts w:hint="cs"/>
          <w:rtl/>
          <w:lang w:bidi="fa-IR"/>
        </w:rPr>
        <w:t xml:space="preserve">داوری که </w:t>
      </w:r>
      <w:r>
        <w:rPr>
          <w:rFonts w:hint="cs"/>
          <w:rtl/>
          <w:lang w:bidi="fa-IR"/>
        </w:rPr>
        <w:t>مقر آن در ژنو</w:t>
      </w:r>
      <w:r w:rsidRPr="00701945">
        <w:rPr>
          <w:rFonts w:hint="cs"/>
          <w:rtl/>
          <w:lang w:bidi="fa-IR"/>
        </w:rPr>
        <w:t xml:space="preserve"> و قانون حاکم بر آن کنوانسیون نیویورک بود، بر این اساس که خسارت تعیین شده</w:t>
      </w:r>
      <w:r>
        <w:rPr>
          <w:rFonts w:hint="cs"/>
          <w:rtl/>
          <w:lang w:bidi="fa-IR"/>
        </w:rPr>
        <w:t>،</w:t>
      </w:r>
      <w:r w:rsidRPr="00701945">
        <w:rPr>
          <w:rFonts w:hint="cs"/>
          <w:rtl/>
          <w:lang w:bidi="fa-IR"/>
        </w:rPr>
        <w:t xml:space="preserve"> فراتر از </w:t>
      </w:r>
      <w:r>
        <w:rPr>
          <w:rFonts w:hint="cs"/>
          <w:rtl/>
          <w:lang w:bidi="fa-IR"/>
        </w:rPr>
        <w:t>جبران خسارت مقرر شده</w:t>
      </w:r>
      <w:r w:rsidRPr="00701945">
        <w:rPr>
          <w:rFonts w:hint="cs"/>
          <w:rtl/>
          <w:lang w:bidi="fa-IR"/>
        </w:rPr>
        <w:t xml:space="preserve"> مجازات عمل خلاف نظم عمومی </w:t>
      </w:r>
      <w:r>
        <w:rPr>
          <w:rFonts w:hint="cs"/>
          <w:rtl/>
          <w:lang w:bidi="fa-IR"/>
        </w:rPr>
        <w:t>در قانون سوئیس بود، مورد امتناع</w:t>
      </w:r>
      <w:r w:rsidRPr="00701945">
        <w:rPr>
          <w:rFonts w:hint="cs"/>
          <w:rtl/>
          <w:lang w:bidi="fa-IR"/>
        </w:rPr>
        <w:t xml:space="preserve"> واقع شد.</w:t>
      </w:r>
      <w:r w:rsidRPr="00701945">
        <w:rPr>
          <w:rStyle w:val="FootnoteReference"/>
          <w:rtl/>
          <w:lang w:bidi="fa-IR"/>
        </w:rPr>
        <w:footnoteReference w:id="227"/>
      </w:r>
      <w:r w:rsidRPr="00701945">
        <w:rPr>
          <w:rFonts w:hint="cs"/>
          <w:rtl/>
          <w:lang w:bidi="fa-IR"/>
        </w:rPr>
        <w:t xml:space="preserve"> استثناء جالب توجه در این زمینه ایالات متحده آمریکا می‌باشد که این موضوع را</w:t>
      </w:r>
      <w:r>
        <w:rPr>
          <w:rFonts w:hint="cs"/>
          <w:rtl/>
          <w:lang w:bidi="fa-IR"/>
        </w:rPr>
        <w:t xml:space="preserve"> مورد تأیید قرار داده</w:t>
      </w:r>
      <w:r w:rsidRPr="00701945">
        <w:rPr>
          <w:rFonts w:hint="cs"/>
          <w:rtl/>
          <w:lang w:bidi="fa-IR"/>
        </w:rPr>
        <w:t xml:space="preserve"> که </w:t>
      </w:r>
      <w:r>
        <w:rPr>
          <w:rFonts w:hint="cs"/>
          <w:rtl/>
          <w:lang w:bidi="fa-IR"/>
        </w:rPr>
        <w:t>ادعای مبنی بر خسار</w:t>
      </w:r>
      <w:r w:rsidRPr="00701945">
        <w:rPr>
          <w:rFonts w:hint="cs"/>
          <w:rtl/>
          <w:lang w:bidi="fa-IR"/>
        </w:rPr>
        <w:t>ت تنبیهی به موجب قانون فدرال قاب</w:t>
      </w:r>
      <w:r>
        <w:rPr>
          <w:rFonts w:hint="cs"/>
          <w:rtl/>
          <w:lang w:bidi="fa-IR"/>
        </w:rPr>
        <w:t>ل داوری می‌باشد</w:t>
      </w:r>
      <w:r w:rsidRPr="00701945">
        <w:rPr>
          <w:rFonts w:hint="cs"/>
          <w:rtl/>
          <w:lang w:bidi="fa-IR"/>
        </w:rPr>
        <w:t>.</w:t>
      </w:r>
      <w:r w:rsidRPr="00701945">
        <w:rPr>
          <w:rStyle w:val="FootnoteReference"/>
          <w:rtl/>
          <w:lang w:bidi="fa-IR"/>
        </w:rPr>
        <w:footnoteReference w:id="228"/>
      </w:r>
      <w:r w:rsidRPr="00701945">
        <w:rPr>
          <w:rFonts w:hint="cs"/>
          <w:rtl/>
          <w:lang w:bidi="fa-IR"/>
        </w:rPr>
        <w:t xml:space="preserve"> چنین رویکردی در را</w:t>
      </w:r>
      <w:r>
        <w:rPr>
          <w:rFonts w:hint="cs"/>
          <w:rtl/>
          <w:lang w:bidi="fa-IR"/>
        </w:rPr>
        <w:t>ستای مطابقت ملاحظات نظم عمومی با</w:t>
      </w:r>
      <w:r w:rsidRPr="00701945">
        <w:rPr>
          <w:rFonts w:hint="cs"/>
          <w:rtl/>
          <w:lang w:bidi="fa-IR"/>
        </w:rPr>
        <w:t xml:space="preserve"> جانبداری از داوری به عنوان یک جایگزین مناسب </w:t>
      </w:r>
      <w:r w:rsidRPr="00701945">
        <w:rPr>
          <w:rFonts w:hint="cs"/>
          <w:rtl/>
          <w:lang w:bidi="fa-IR"/>
        </w:rPr>
        <w:lastRenderedPageBreak/>
        <w:t>برای دادخواهی، ابراز</w:t>
      </w:r>
      <w:r w:rsidRPr="00701945">
        <w:rPr>
          <w:rtl/>
          <w:lang w:bidi="fa-IR"/>
        </w:rPr>
        <w:t xml:space="preserve"> </w:t>
      </w:r>
      <w:r>
        <w:rPr>
          <w:rFonts w:hint="cs"/>
          <w:rtl/>
          <w:lang w:bidi="fa-IR"/>
        </w:rPr>
        <w:t>گردیده</w:t>
      </w:r>
      <w:r w:rsidRPr="00701945">
        <w:rPr>
          <w:rtl/>
          <w:lang w:bidi="fa-IR"/>
        </w:rPr>
        <w:t xml:space="preserve"> </w:t>
      </w:r>
      <w:r w:rsidRPr="00701945">
        <w:rPr>
          <w:rFonts w:hint="cs"/>
          <w:rtl/>
          <w:lang w:bidi="fa-IR"/>
        </w:rPr>
        <w:t>است. دادگاه‌های فدرال نیز رأی خارجی دارای مؤلفه جبران خسارت تنبیهی را اجرا</w:t>
      </w:r>
      <w:r>
        <w:rPr>
          <w:rFonts w:hint="cs"/>
          <w:rtl/>
          <w:lang w:bidi="fa-IR"/>
        </w:rPr>
        <w:t xml:space="preserve"> می‌نمایند</w:t>
      </w:r>
      <w:r w:rsidRPr="00701945">
        <w:rPr>
          <w:rFonts w:hint="cs"/>
          <w:rtl/>
          <w:lang w:bidi="fa-IR"/>
        </w:rPr>
        <w:t>.</w:t>
      </w:r>
      <w:r w:rsidRPr="00701945">
        <w:rPr>
          <w:rStyle w:val="FootnoteReference"/>
          <w:rtl/>
          <w:lang w:bidi="fa-IR"/>
        </w:rPr>
        <w:footnoteReference w:id="229"/>
      </w:r>
      <w:r w:rsidRPr="00701945">
        <w:rPr>
          <w:rFonts w:hint="cs"/>
          <w:rtl/>
          <w:lang w:bidi="fa-IR"/>
        </w:rPr>
        <w:t xml:space="preserve"> </w:t>
      </w:r>
    </w:p>
    <w:p w:rsidR="003602AD" w:rsidRDefault="003602AD" w:rsidP="004C2DA3">
      <w:pPr>
        <w:bidi/>
        <w:ind w:firstLine="360"/>
        <w:jc w:val="mediumKashida"/>
        <w:rPr>
          <w:rtl/>
          <w:lang w:bidi="fa-IR"/>
        </w:rPr>
      </w:pPr>
      <w:r>
        <w:rPr>
          <w:rFonts w:hint="cs"/>
          <w:rtl/>
          <w:lang w:bidi="fa-IR"/>
        </w:rPr>
        <w:t xml:space="preserve">در نظام حقوقی اسلام یکی از </w:t>
      </w:r>
      <w:r w:rsidRPr="00701945">
        <w:rPr>
          <w:rFonts w:hint="cs"/>
          <w:rtl/>
          <w:lang w:bidi="fa-IR"/>
        </w:rPr>
        <w:t xml:space="preserve">مثال‌هایی </w:t>
      </w:r>
      <w:r>
        <w:rPr>
          <w:rFonts w:hint="cs"/>
          <w:rtl/>
          <w:lang w:bidi="fa-IR"/>
        </w:rPr>
        <w:t xml:space="preserve">که می‌تواند </w:t>
      </w:r>
      <w:r w:rsidRPr="00701945">
        <w:rPr>
          <w:rFonts w:hint="cs"/>
          <w:rtl/>
          <w:lang w:bidi="fa-IR"/>
        </w:rPr>
        <w:t>از</w:t>
      </w:r>
      <w:r>
        <w:rPr>
          <w:rFonts w:hint="cs"/>
          <w:rtl/>
          <w:lang w:bidi="fa-IR"/>
        </w:rPr>
        <w:t xml:space="preserve"> مواردی باشد که در تعارض با شریعت اسلام قرار گیرد، بدین شرح است؛</w:t>
      </w:r>
      <w:r w:rsidRPr="00701945">
        <w:rPr>
          <w:rFonts w:hint="cs"/>
          <w:rtl/>
          <w:lang w:bidi="fa-IR"/>
        </w:rPr>
        <w:t xml:space="preserve"> رأی داوری که دربردارنده منافع قانونی به</w:t>
      </w:r>
      <w:r>
        <w:rPr>
          <w:rFonts w:hint="cs"/>
          <w:rtl/>
          <w:lang w:bidi="fa-IR"/>
        </w:rPr>
        <w:t xml:space="preserve"> موجب قانون مصر یا سوریه باشد</w:t>
      </w:r>
      <w:r w:rsidRPr="00701945">
        <w:rPr>
          <w:rFonts w:hint="cs"/>
          <w:rtl/>
          <w:lang w:bidi="fa-IR"/>
        </w:rPr>
        <w:t xml:space="preserve"> یا دربردارنده م</w:t>
      </w:r>
      <w:r>
        <w:rPr>
          <w:rFonts w:hint="cs"/>
          <w:rtl/>
          <w:lang w:bidi="fa-IR"/>
        </w:rPr>
        <w:t>نافع قراردادی تحت قانون لیبی، در کویت می‌تواند به میزانی</w:t>
      </w:r>
      <w:r w:rsidRPr="00701945">
        <w:rPr>
          <w:rFonts w:hint="cs"/>
          <w:rtl/>
          <w:lang w:bidi="fa-IR"/>
        </w:rPr>
        <w:t xml:space="preserve"> که </w:t>
      </w:r>
      <w:r>
        <w:rPr>
          <w:rFonts w:hint="cs"/>
          <w:rtl/>
          <w:lang w:bidi="fa-IR"/>
        </w:rPr>
        <w:t>مخالف شریعت اسلام نباشد اجرا گردد. پس نتیجتاً بخشی از رأی قابلیت به اجرا درآمدن را نمی‌یابد.</w:t>
      </w:r>
      <w:r w:rsidRPr="00701945">
        <w:rPr>
          <w:rStyle w:val="FootnoteReference"/>
          <w:rtl/>
          <w:lang w:bidi="fa-IR"/>
        </w:rPr>
        <w:footnoteReference w:id="230"/>
      </w:r>
      <w:r>
        <w:rPr>
          <w:rFonts w:hint="cs"/>
          <w:rtl/>
          <w:lang w:bidi="fa-IR"/>
        </w:rPr>
        <w:t xml:space="preserve"> از جمله</w:t>
      </w:r>
      <w:r w:rsidRPr="00701945">
        <w:rPr>
          <w:rFonts w:hint="cs"/>
          <w:rtl/>
          <w:lang w:bidi="fa-IR"/>
        </w:rPr>
        <w:t xml:space="preserve"> مثال‌های دیگر</w:t>
      </w:r>
      <w:r>
        <w:rPr>
          <w:rFonts w:hint="cs"/>
          <w:rtl/>
          <w:lang w:bidi="fa-IR"/>
        </w:rPr>
        <w:t xml:space="preserve"> می‌توان</w:t>
      </w:r>
      <w:r w:rsidRPr="00701945">
        <w:rPr>
          <w:rFonts w:hint="cs"/>
          <w:rtl/>
          <w:lang w:bidi="fa-IR"/>
        </w:rPr>
        <w:t xml:space="preserve"> آرای مربوط به مفهوم رباء (که دکترین اسلامی حنبل</w:t>
      </w:r>
      <w:r>
        <w:rPr>
          <w:rFonts w:hint="cs"/>
          <w:rtl/>
          <w:lang w:bidi="fa-IR"/>
        </w:rPr>
        <w:t>ی آن را به رسمیت نشناخته است.)، آرای صادر</w:t>
      </w:r>
      <w:r w:rsidRPr="00701945">
        <w:rPr>
          <w:rFonts w:hint="cs"/>
          <w:rtl/>
          <w:lang w:bidi="fa-IR"/>
        </w:rPr>
        <w:t xml:space="preserve"> شده توس</w:t>
      </w:r>
      <w:r>
        <w:rPr>
          <w:rFonts w:hint="cs"/>
          <w:rtl/>
          <w:lang w:bidi="fa-IR"/>
        </w:rPr>
        <w:t>ط داوران غیر مسلمان</w:t>
      </w:r>
      <w:r w:rsidRPr="00701945">
        <w:rPr>
          <w:rFonts w:hint="cs"/>
          <w:rtl/>
          <w:lang w:bidi="fa-IR"/>
        </w:rPr>
        <w:t xml:space="preserve"> (که مخالف قانون عربستان سعودی است.)</w:t>
      </w:r>
      <w:r>
        <w:rPr>
          <w:rFonts w:hint="cs"/>
          <w:rtl/>
          <w:lang w:bidi="fa-IR"/>
        </w:rPr>
        <w:t xml:space="preserve"> و همچنین عقود شانسی</w:t>
      </w:r>
      <w:r>
        <w:rPr>
          <w:rStyle w:val="FootnoteReference"/>
          <w:rtl/>
          <w:lang w:bidi="fa-IR"/>
        </w:rPr>
        <w:footnoteReference w:id="231"/>
      </w:r>
      <w:r>
        <w:rPr>
          <w:rFonts w:hint="cs"/>
          <w:rtl/>
          <w:lang w:bidi="fa-IR"/>
        </w:rPr>
        <w:t xml:space="preserve"> را ذکر نمود.</w:t>
      </w:r>
      <w:r w:rsidRPr="00491C13">
        <w:rPr>
          <w:vertAlign w:val="superscript"/>
          <w:rtl/>
          <w:lang w:bidi="fa-IR"/>
        </w:rPr>
        <w:footnoteReference w:id="232"/>
      </w:r>
    </w:p>
    <w:p w:rsidR="00514D0B" w:rsidRPr="00514D0B" w:rsidRDefault="00514D0B" w:rsidP="004C2DA3">
      <w:pPr>
        <w:bidi/>
        <w:ind w:firstLine="360"/>
        <w:jc w:val="mediumKashida"/>
        <w:rPr>
          <w:rtl/>
          <w:lang w:bidi="fa-IR"/>
        </w:rPr>
      </w:pPr>
    </w:p>
    <w:p w:rsidR="003602AD" w:rsidRDefault="003602AD" w:rsidP="00C34789">
      <w:pPr>
        <w:pStyle w:val="Heading4"/>
        <w:rPr>
          <w:rtl/>
        </w:rPr>
      </w:pPr>
      <w:r w:rsidRPr="003464FA">
        <w:rPr>
          <w:rFonts w:hint="cs"/>
          <w:rtl/>
        </w:rPr>
        <w:t>3-2-3) مغایرت با اخلاق حسنه و نظم عمومی</w:t>
      </w:r>
    </w:p>
    <w:p w:rsidR="00514D0B" w:rsidRPr="00514D0B" w:rsidRDefault="00514D0B" w:rsidP="004C2DA3">
      <w:pPr>
        <w:bidi/>
        <w:ind w:firstLine="360"/>
        <w:rPr>
          <w:rtl/>
          <w:lang w:bidi="fa-IR"/>
        </w:rPr>
      </w:pPr>
    </w:p>
    <w:p w:rsidR="003602AD" w:rsidRPr="00726BFD" w:rsidRDefault="003602AD" w:rsidP="004C2DA3">
      <w:pPr>
        <w:bidi/>
        <w:ind w:firstLine="360"/>
        <w:jc w:val="mediumKashida"/>
        <w:rPr>
          <w:rFonts w:cs="B Zar"/>
          <w:b/>
          <w:bCs/>
          <w:rtl/>
          <w:lang w:bidi="fa-IR"/>
        </w:rPr>
      </w:pPr>
      <w:r w:rsidRPr="00726BFD">
        <w:rPr>
          <w:rFonts w:hint="cs"/>
          <w:rtl/>
          <w:lang w:bidi="fa-IR"/>
        </w:rPr>
        <w:t xml:space="preserve">امور خاصی در سرتاسر </w:t>
      </w:r>
      <w:r>
        <w:rPr>
          <w:rFonts w:hint="cs"/>
          <w:rtl/>
          <w:lang w:bidi="fa-IR"/>
        </w:rPr>
        <w:t xml:space="preserve">جهان </w:t>
      </w:r>
      <w:r w:rsidRPr="00726BFD">
        <w:rPr>
          <w:rFonts w:hint="cs"/>
          <w:rtl/>
          <w:lang w:bidi="fa-IR"/>
        </w:rPr>
        <w:t>به عنوان اعمال خلاف اخلاق حسنه در نظر گرفته شده‌اند. برای مثال، دزدی دریایی، تروریسم، نسل‌کشی، برده‌داری، قاچاق، خرید و فروش مواد مخدر و آزار جنسی کودکان. قرادادهایی</w:t>
      </w:r>
      <w:r>
        <w:rPr>
          <w:rFonts w:hint="cs"/>
          <w:rtl/>
          <w:lang w:bidi="fa-IR"/>
        </w:rPr>
        <w:t xml:space="preserve"> که چنین فعالیت‌هایی را تسهیل </w:t>
      </w:r>
      <w:r w:rsidRPr="00726BFD">
        <w:rPr>
          <w:rFonts w:hint="cs"/>
          <w:rtl/>
          <w:lang w:bidi="fa-IR"/>
        </w:rPr>
        <w:lastRenderedPageBreak/>
        <w:t>‌کن</w:t>
      </w:r>
      <w:r>
        <w:rPr>
          <w:rFonts w:hint="cs"/>
          <w:rtl/>
          <w:lang w:bidi="fa-IR"/>
        </w:rPr>
        <w:t>ن</w:t>
      </w:r>
      <w:r w:rsidRPr="00726BFD">
        <w:rPr>
          <w:rFonts w:hint="cs"/>
          <w:rtl/>
          <w:lang w:bidi="fa-IR"/>
        </w:rPr>
        <w:t xml:space="preserve">د، </w:t>
      </w:r>
      <w:r>
        <w:rPr>
          <w:rFonts w:hint="cs"/>
          <w:rtl/>
          <w:lang w:bidi="fa-IR"/>
        </w:rPr>
        <w:t>غیر قانونی و غیر قابل اجرا می‌باشند</w:t>
      </w:r>
      <w:r w:rsidRPr="00726BFD">
        <w:rPr>
          <w:rFonts w:hint="cs"/>
          <w:rtl/>
          <w:lang w:bidi="fa-IR"/>
        </w:rPr>
        <w:t xml:space="preserve">. </w:t>
      </w:r>
      <w:r>
        <w:rPr>
          <w:rFonts w:hint="cs"/>
          <w:rtl/>
          <w:lang w:bidi="fa-IR"/>
        </w:rPr>
        <w:t>رأیی که در زمینه</w:t>
      </w:r>
      <w:r w:rsidRPr="00726BFD">
        <w:rPr>
          <w:rFonts w:hint="cs"/>
          <w:rtl/>
          <w:lang w:bidi="fa-IR"/>
        </w:rPr>
        <w:t xml:space="preserve"> اختلاف میان طرفین</w:t>
      </w:r>
      <w:r>
        <w:rPr>
          <w:rFonts w:hint="cs"/>
          <w:rtl/>
          <w:lang w:bidi="fa-IR"/>
        </w:rPr>
        <w:t xml:space="preserve"> درگیر در</w:t>
      </w:r>
      <w:r w:rsidRPr="00726BFD">
        <w:rPr>
          <w:rFonts w:hint="cs"/>
          <w:rtl/>
          <w:lang w:bidi="fa-IR"/>
        </w:rPr>
        <w:t xml:space="preserve"> چنین فعالیت‌های غیر قانونی</w:t>
      </w:r>
      <w:r>
        <w:rPr>
          <w:rFonts w:hint="cs"/>
          <w:rtl/>
          <w:lang w:bidi="fa-IR"/>
        </w:rPr>
        <w:t xml:space="preserve"> صادر شده باش</w:t>
      </w:r>
      <w:r w:rsidRPr="00726BFD">
        <w:rPr>
          <w:rFonts w:hint="cs"/>
          <w:rtl/>
          <w:lang w:bidi="fa-IR"/>
        </w:rPr>
        <w:t xml:space="preserve">د، </w:t>
      </w:r>
      <w:r>
        <w:rPr>
          <w:rFonts w:hint="cs"/>
          <w:rtl/>
          <w:lang w:bidi="fa-IR"/>
        </w:rPr>
        <w:t>قابلیت اجرا نخواهد یافت</w:t>
      </w:r>
      <w:r w:rsidRPr="00726BFD">
        <w:rPr>
          <w:rFonts w:hint="cs"/>
          <w:sz w:val="32"/>
          <w:szCs w:val="32"/>
          <w:rtl/>
          <w:lang w:bidi="fa-IR"/>
        </w:rPr>
        <w:t>.</w:t>
      </w:r>
    </w:p>
    <w:p w:rsidR="003602AD" w:rsidRPr="004F77B3" w:rsidRDefault="003602AD" w:rsidP="004C2DA3">
      <w:pPr>
        <w:pStyle w:val="ListParagraph"/>
        <w:bidi/>
        <w:ind w:left="0" w:firstLine="360"/>
        <w:jc w:val="mediumKashida"/>
        <w:rPr>
          <w:rtl/>
          <w:lang w:bidi="fa-IR"/>
        </w:rPr>
      </w:pPr>
      <w:r>
        <w:rPr>
          <w:rFonts w:hint="cs"/>
          <w:rtl/>
          <w:lang w:bidi="fa-IR"/>
        </w:rPr>
        <w:t>در پی انعقاد</w:t>
      </w:r>
      <w:r w:rsidRPr="00701945">
        <w:rPr>
          <w:rFonts w:hint="cs"/>
          <w:rtl/>
          <w:lang w:bidi="fa-IR"/>
        </w:rPr>
        <w:t xml:space="preserve"> کنوانس</w:t>
      </w:r>
      <w:r>
        <w:rPr>
          <w:rFonts w:hint="cs"/>
          <w:rtl/>
          <w:lang w:bidi="fa-IR"/>
        </w:rPr>
        <w:t>یون 1997 سازمان همکاری و توسعه اقتصادی راجع به مبارزه با رشوه‌</w:t>
      </w:r>
      <w:r w:rsidRPr="00701945">
        <w:rPr>
          <w:rFonts w:hint="cs"/>
          <w:rtl/>
          <w:lang w:bidi="fa-IR"/>
        </w:rPr>
        <w:t xml:space="preserve">خواری مقامات خارجی در معاملات </w:t>
      </w:r>
      <w:r w:rsidRPr="004F77B3">
        <w:rPr>
          <w:rFonts w:hint="cs"/>
          <w:rtl/>
          <w:lang w:bidi="fa-IR"/>
        </w:rPr>
        <w:t>بین‌المللی</w:t>
      </w:r>
      <w:r w:rsidRPr="004F77B3">
        <w:rPr>
          <w:rStyle w:val="FootnoteReference"/>
          <w:rtl/>
          <w:lang w:bidi="fa-IR"/>
        </w:rPr>
        <w:footnoteReference w:id="233"/>
      </w:r>
      <w:r>
        <w:rPr>
          <w:rFonts w:hint="cs"/>
          <w:rtl/>
          <w:lang w:bidi="fa-IR"/>
        </w:rPr>
        <w:t>،</w:t>
      </w:r>
      <w:r w:rsidRPr="004F77B3">
        <w:rPr>
          <w:rFonts w:hint="cs"/>
          <w:rtl/>
          <w:lang w:bidi="fa-IR"/>
        </w:rPr>
        <w:t xml:space="preserve"> که حاکی از زیاد شدن نگرانی بین‌المللی درمورد شیوع رویه‌های فساد تجاری </w:t>
      </w:r>
      <w:r>
        <w:rPr>
          <w:rFonts w:hint="cs"/>
          <w:rtl/>
          <w:lang w:bidi="fa-IR"/>
        </w:rPr>
        <w:t>بود</w:t>
      </w:r>
      <w:r w:rsidRPr="004F77B3">
        <w:rPr>
          <w:rFonts w:hint="cs"/>
          <w:rtl/>
          <w:lang w:bidi="fa-IR"/>
        </w:rPr>
        <w:t>، این مسئله قابل بحث است که</w:t>
      </w:r>
      <w:r>
        <w:rPr>
          <w:rFonts w:hint="cs"/>
          <w:rtl/>
          <w:lang w:bidi="fa-IR"/>
        </w:rPr>
        <w:t xml:space="preserve"> آیا اجماعی بین‌المللی مبتنی بر این‌که؛</w:t>
      </w:r>
      <w:r w:rsidRPr="004F77B3">
        <w:rPr>
          <w:rFonts w:hint="cs"/>
          <w:rtl/>
          <w:lang w:bidi="fa-IR"/>
        </w:rPr>
        <w:t xml:space="preserve"> فساد و رشوه خواری</w:t>
      </w:r>
      <w:r>
        <w:rPr>
          <w:rFonts w:hint="cs"/>
          <w:rtl/>
          <w:lang w:bidi="fa-IR"/>
        </w:rPr>
        <w:t xml:space="preserve"> در تعارض</w:t>
      </w:r>
      <w:r w:rsidRPr="004F77B3">
        <w:rPr>
          <w:rFonts w:hint="cs"/>
          <w:rtl/>
          <w:lang w:bidi="fa-IR"/>
        </w:rPr>
        <w:t xml:space="preserve"> </w:t>
      </w:r>
      <w:r>
        <w:rPr>
          <w:rFonts w:hint="cs"/>
          <w:rtl/>
          <w:lang w:bidi="fa-IR"/>
        </w:rPr>
        <w:t>با نظم عمومی بین‌المللی است، وجود دارد</w:t>
      </w:r>
      <w:r w:rsidRPr="004F77B3">
        <w:rPr>
          <w:rFonts w:hint="cs"/>
          <w:rtl/>
          <w:lang w:bidi="fa-IR"/>
        </w:rPr>
        <w:t>.</w:t>
      </w:r>
      <w:r w:rsidRPr="004F77B3">
        <w:rPr>
          <w:rStyle w:val="FootnoteReference"/>
          <w:rtl/>
          <w:lang w:bidi="fa-IR"/>
        </w:rPr>
        <w:footnoteReference w:id="234"/>
      </w:r>
      <w:r w:rsidRPr="004F77B3">
        <w:rPr>
          <w:rFonts w:hint="cs"/>
          <w:rtl/>
          <w:lang w:bidi="fa-IR"/>
        </w:rPr>
        <w:t xml:space="preserve"> به عنوان نمونه در سال 1993 د</w:t>
      </w:r>
      <w:r>
        <w:rPr>
          <w:rFonts w:hint="cs"/>
          <w:rtl/>
          <w:lang w:bidi="fa-IR"/>
        </w:rPr>
        <w:t>ادگاه استیناف پاریس بیان داشت</w:t>
      </w:r>
      <w:r w:rsidRPr="004F77B3">
        <w:rPr>
          <w:rFonts w:hint="cs"/>
          <w:rtl/>
          <w:lang w:bidi="fa-IR"/>
        </w:rPr>
        <w:t xml:space="preserve">: </w:t>
      </w:r>
    </w:p>
    <w:p w:rsidR="003602AD" w:rsidRPr="004F77B3" w:rsidRDefault="003602AD" w:rsidP="004C2DA3">
      <w:pPr>
        <w:pStyle w:val="ListParagraph"/>
        <w:bidi/>
        <w:ind w:left="0" w:firstLine="360"/>
        <w:jc w:val="mediumKashida"/>
        <w:rPr>
          <w:rtl/>
          <w:lang w:bidi="fa-IR"/>
        </w:rPr>
      </w:pPr>
      <w:r w:rsidRPr="0063249C">
        <w:rPr>
          <w:rFonts w:hint="cs"/>
          <w:sz w:val="24"/>
          <w:szCs w:val="24"/>
          <w:rtl/>
          <w:lang w:bidi="fa-IR"/>
        </w:rPr>
        <w:t>"قراردادی که نیل به هدف و مقصود خود را  نفوذ از طریق پرداخت رشوه قرار داده است، در نتیجه با نظم عمومی فرانسه مخالفت دارد همان طور که با مجموعه اخلاقیات تجاری بین‌المللی درک شده توسط اکثریت کثیری از کشورها در جامعه جهانی در تعارض است."</w:t>
      </w:r>
      <w:r w:rsidRPr="004F77B3">
        <w:rPr>
          <w:rStyle w:val="FootnoteReference"/>
          <w:rtl/>
          <w:lang w:bidi="fa-IR"/>
        </w:rPr>
        <w:footnoteReference w:id="235"/>
      </w:r>
      <w:r w:rsidRPr="004F77B3">
        <w:rPr>
          <w:rFonts w:hint="cs"/>
          <w:rtl/>
          <w:lang w:bidi="fa-IR"/>
        </w:rPr>
        <w:t xml:space="preserve"> </w:t>
      </w:r>
    </w:p>
    <w:p w:rsidR="003602AD" w:rsidRPr="004F77B3" w:rsidRDefault="003602AD" w:rsidP="004C2DA3">
      <w:pPr>
        <w:pStyle w:val="ListParagraph"/>
        <w:bidi/>
        <w:ind w:left="0" w:firstLine="360"/>
        <w:jc w:val="mediumKashida"/>
        <w:rPr>
          <w:rtl/>
          <w:lang w:bidi="fa-IR"/>
        </w:rPr>
      </w:pPr>
      <w:r>
        <w:rPr>
          <w:rFonts w:hint="cs"/>
          <w:rtl/>
          <w:lang w:bidi="fa-IR"/>
        </w:rPr>
        <w:t>در همین راستا، اگر به موجب</w:t>
      </w:r>
      <w:r w:rsidRPr="004F77B3">
        <w:rPr>
          <w:rFonts w:hint="cs"/>
          <w:rtl/>
          <w:lang w:bidi="fa-IR"/>
        </w:rPr>
        <w:t xml:space="preserve"> قرادادی ال</w:t>
      </w:r>
      <w:r>
        <w:rPr>
          <w:rFonts w:hint="cs"/>
          <w:rtl/>
          <w:lang w:bidi="fa-IR"/>
        </w:rPr>
        <w:t>ف وعده پرداخت مبلغی پول</w:t>
      </w:r>
      <w:r w:rsidRPr="004F77B3">
        <w:rPr>
          <w:rFonts w:hint="cs"/>
          <w:rtl/>
          <w:lang w:bidi="fa-IR"/>
        </w:rPr>
        <w:t xml:space="preserve"> به ب</w:t>
      </w:r>
      <w:r>
        <w:rPr>
          <w:rFonts w:hint="cs"/>
          <w:rtl/>
          <w:lang w:bidi="fa-IR"/>
        </w:rPr>
        <w:t xml:space="preserve"> را</w:t>
      </w:r>
      <w:r w:rsidRPr="004F77B3">
        <w:rPr>
          <w:rFonts w:hint="cs"/>
          <w:rtl/>
          <w:lang w:bidi="fa-IR"/>
        </w:rPr>
        <w:t xml:space="preserve"> </w:t>
      </w:r>
      <w:r>
        <w:rPr>
          <w:rFonts w:hint="cs"/>
          <w:rtl/>
          <w:lang w:bidi="fa-IR"/>
        </w:rPr>
        <w:t>بدهد، در صورتی که ب از طریق دادن رشوه</w:t>
      </w:r>
      <w:r w:rsidRPr="004F77B3">
        <w:rPr>
          <w:rFonts w:hint="cs"/>
          <w:rtl/>
          <w:lang w:bidi="fa-IR"/>
        </w:rPr>
        <w:t xml:space="preserve"> </w:t>
      </w:r>
      <w:r>
        <w:rPr>
          <w:rFonts w:hint="cs"/>
          <w:rtl/>
          <w:lang w:bidi="fa-IR"/>
        </w:rPr>
        <w:t>انعقاد قرارداد یک سازمان دولتی با الف را مهیا سازد</w:t>
      </w:r>
      <w:r w:rsidRPr="004F77B3">
        <w:rPr>
          <w:rFonts w:hint="cs"/>
          <w:rtl/>
          <w:lang w:bidi="fa-IR"/>
        </w:rPr>
        <w:t>،</w:t>
      </w:r>
      <w:r>
        <w:rPr>
          <w:rFonts w:hint="cs"/>
          <w:rtl/>
          <w:lang w:bidi="fa-IR"/>
        </w:rPr>
        <w:t xml:space="preserve"> در نظام حقوقی انگلستان چنین قراردادی،</w:t>
      </w:r>
      <w:r w:rsidRPr="004F77B3">
        <w:rPr>
          <w:rFonts w:hint="cs"/>
          <w:rtl/>
          <w:lang w:bidi="fa-IR"/>
        </w:rPr>
        <w:t xml:space="preserve"> غیر قانونی و از درجه اعتبار ساقط است.</w:t>
      </w:r>
      <w:r w:rsidRPr="004F77B3">
        <w:rPr>
          <w:rStyle w:val="FootnoteReference"/>
          <w:rtl/>
          <w:lang w:bidi="fa-IR"/>
        </w:rPr>
        <w:footnoteReference w:id="236"/>
      </w:r>
    </w:p>
    <w:p w:rsidR="003602AD" w:rsidRPr="004F77B3" w:rsidRDefault="003602AD" w:rsidP="004C2DA3">
      <w:pPr>
        <w:pStyle w:val="ListParagraph"/>
        <w:bidi/>
        <w:ind w:left="0" w:firstLine="360"/>
        <w:jc w:val="mediumKashida"/>
        <w:rPr>
          <w:lang w:bidi="fa-IR"/>
        </w:rPr>
      </w:pPr>
      <w:r w:rsidRPr="004F77B3">
        <w:rPr>
          <w:rFonts w:hint="cs"/>
          <w:rtl/>
          <w:lang w:bidi="fa-IR"/>
        </w:rPr>
        <w:t>در برخی موارد</w:t>
      </w:r>
      <w:r>
        <w:rPr>
          <w:rFonts w:hint="cs"/>
          <w:rtl/>
          <w:lang w:bidi="fa-IR"/>
        </w:rPr>
        <w:t>، اختلاف بر سر این موضوع است که</w:t>
      </w:r>
      <w:r w:rsidRPr="004F77B3">
        <w:rPr>
          <w:rFonts w:hint="cs"/>
          <w:rtl/>
          <w:lang w:bidi="fa-IR"/>
        </w:rPr>
        <w:t>، یکی از طرفین به دنب</w:t>
      </w:r>
      <w:r>
        <w:rPr>
          <w:rFonts w:hint="cs"/>
          <w:rtl/>
          <w:lang w:bidi="fa-IR"/>
        </w:rPr>
        <w:t>ال اجرای قرارداد پرداخت رشوه می‌باشد، مقرر گردیده، چنین اختلافی</w:t>
      </w:r>
      <w:r w:rsidRPr="004F77B3">
        <w:rPr>
          <w:rFonts w:hint="cs"/>
          <w:rtl/>
          <w:lang w:bidi="fa-IR"/>
        </w:rPr>
        <w:t xml:space="preserve"> قابل</w:t>
      </w:r>
      <w:r>
        <w:rPr>
          <w:rFonts w:hint="cs"/>
          <w:rtl/>
          <w:lang w:bidi="fa-IR"/>
        </w:rPr>
        <w:t>یت رسیدگی در</w:t>
      </w:r>
      <w:r w:rsidRPr="004F77B3">
        <w:rPr>
          <w:rFonts w:hint="cs"/>
          <w:rtl/>
          <w:lang w:bidi="fa-IR"/>
        </w:rPr>
        <w:t xml:space="preserve"> داوری</w:t>
      </w:r>
      <w:r>
        <w:rPr>
          <w:rFonts w:hint="cs"/>
          <w:rtl/>
          <w:lang w:bidi="fa-IR"/>
        </w:rPr>
        <w:t xml:space="preserve"> را ندارد</w:t>
      </w:r>
      <w:r w:rsidRPr="004F77B3">
        <w:rPr>
          <w:rFonts w:hint="cs"/>
          <w:rtl/>
          <w:lang w:bidi="fa-IR"/>
        </w:rPr>
        <w:t xml:space="preserve">. </w:t>
      </w:r>
      <w:r w:rsidRPr="004F77B3">
        <w:rPr>
          <w:rStyle w:val="FootnoteReference"/>
          <w:rtl/>
          <w:lang w:bidi="fa-IR"/>
        </w:rPr>
        <w:footnoteReference w:id="237"/>
      </w:r>
      <w:r w:rsidRPr="004F77B3">
        <w:rPr>
          <w:rFonts w:hint="cs"/>
          <w:rtl/>
          <w:lang w:bidi="fa-IR"/>
        </w:rPr>
        <w:t xml:space="preserve"> </w:t>
      </w:r>
      <w:r>
        <w:rPr>
          <w:rFonts w:hint="cs"/>
          <w:rtl/>
          <w:lang w:bidi="fa-IR"/>
        </w:rPr>
        <w:t>در موارد دیگر</w:t>
      </w:r>
      <w:r w:rsidRPr="004F77B3">
        <w:rPr>
          <w:rFonts w:hint="cs"/>
          <w:rtl/>
          <w:lang w:bidi="fa-IR"/>
        </w:rPr>
        <w:t xml:space="preserve"> ادعای مبنی بر دریافت حق‌العمل در جایی </w:t>
      </w:r>
      <w:r w:rsidRPr="004F77B3">
        <w:rPr>
          <w:rFonts w:hint="cs"/>
          <w:rtl/>
          <w:lang w:bidi="fa-IR"/>
        </w:rPr>
        <w:lastRenderedPageBreak/>
        <w:t>اجازه داده شده که قرارداد پیش از تصویب قوانین مربوط به ممنوعیت آن منعقد شده باشد.</w:t>
      </w:r>
      <w:r w:rsidRPr="004F77B3">
        <w:rPr>
          <w:rStyle w:val="FootnoteReference"/>
          <w:rtl/>
          <w:lang w:bidi="fa-IR"/>
        </w:rPr>
        <w:footnoteReference w:id="238"/>
      </w:r>
      <w:r>
        <w:rPr>
          <w:rFonts w:hint="cs"/>
          <w:rtl/>
          <w:lang w:bidi="fa-IR"/>
        </w:rPr>
        <w:t xml:space="preserve"> در برخی موارد نیز</w:t>
      </w:r>
      <w:r w:rsidRPr="004F77B3">
        <w:rPr>
          <w:rFonts w:hint="cs"/>
          <w:rtl/>
          <w:lang w:bidi="fa-IR"/>
        </w:rPr>
        <w:t xml:space="preserve"> دادگاه‌ها یا دیوان‌ها</w:t>
      </w:r>
      <w:r>
        <w:rPr>
          <w:rFonts w:hint="cs"/>
          <w:rtl/>
          <w:lang w:bidi="fa-IR"/>
        </w:rPr>
        <w:t>ی داوری</w:t>
      </w:r>
      <w:r w:rsidRPr="004F77B3">
        <w:rPr>
          <w:rFonts w:hint="cs"/>
          <w:rtl/>
          <w:lang w:bidi="fa-IR"/>
        </w:rPr>
        <w:t xml:space="preserve"> میان قراردادهای اعمال نفوذ شخصی و قرادادهای پرداخت رشوه قائل به تمایز شده‌اند.</w:t>
      </w:r>
      <w:r w:rsidRPr="004F77B3">
        <w:rPr>
          <w:rStyle w:val="FootnoteReference"/>
          <w:rtl/>
          <w:lang w:bidi="fa-IR"/>
        </w:rPr>
        <w:footnoteReference w:id="239"/>
      </w:r>
    </w:p>
    <w:p w:rsidR="003602AD" w:rsidRDefault="003602AD" w:rsidP="004C2DA3">
      <w:pPr>
        <w:pStyle w:val="ListParagraph"/>
        <w:bidi/>
        <w:ind w:left="0" w:firstLine="360"/>
        <w:jc w:val="mediumKashida"/>
        <w:rPr>
          <w:rtl/>
          <w:lang w:bidi="fa-IR"/>
        </w:rPr>
      </w:pPr>
      <w:r w:rsidRPr="004F77B3">
        <w:rPr>
          <w:rFonts w:hint="cs"/>
          <w:rtl/>
          <w:lang w:bidi="fa-IR"/>
        </w:rPr>
        <w:t>یک سری ا</w:t>
      </w:r>
      <w:r>
        <w:rPr>
          <w:rFonts w:hint="cs"/>
          <w:rtl/>
          <w:lang w:bidi="fa-IR"/>
        </w:rPr>
        <w:t>ز فع</w:t>
      </w:r>
      <w:r w:rsidRPr="004F77B3">
        <w:rPr>
          <w:rFonts w:hint="cs"/>
          <w:rtl/>
          <w:lang w:bidi="fa-IR"/>
        </w:rPr>
        <w:t>الیت‌ها وجود دارند که از محکومیت بین‌المللی کمتری برخوردارند. برای مثال قراردادهای مربوط به قمار بازی در برخی کشورها قانونی هستند و در برخی دیگر غیر قانونی می‌باشند.</w:t>
      </w:r>
    </w:p>
    <w:p w:rsidR="00514D0B" w:rsidRDefault="00514D0B" w:rsidP="0003261B">
      <w:pPr>
        <w:bidi/>
        <w:jc w:val="mediumKashida"/>
        <w:rPr>
          <w:b/>
          <w:bCs/>
          <w:sz w:val="32"/>
          <w:szCs w:val="32"/>
          <w:rtl/>
          <w:lang w:bidi="fa-IR"/>
        </w:rPr>
      </w:pPr>
    </w:p>
    <w:p w:rsidR="003602AD" w:rsidRPr="00514D0B" w:rsidRDefault="003602AD" w:rsidP="00C34789">
      <w:pPr>
        <w:pStyle w:val="Heading4"/>
        <w:rPr>
          <w:rtl/>
        </w:rPr>
      </w:pPr>
      <w:r w:rsidRPr="00514D0B">
        <w:rPr>
          <w:rFonts w:hint="cs"/>
          <w:rtl/>
        </w:rPr>
        <w:t>3-2-4) منافع ملی و روابط خارجی</w:t>
      </w:r>
    </w:p>
    <w:p w:rsidR="00514D0B" w:rsidRPr="00514D0B" w:rsidRDefault="00514D0B" w:rsidP="004C2DA3">
      <w:pPr>
        <w:bidi/>
        <w:ind w:firstLine="360"/>
        <w:rPr>
          <w:rtl/>
          <w:lang w:bidi="fa-IR"/>
        </w:rPr>
      </w:pPr>
    </w:p>
    <w:p w:rsidR="003602AD" w:rsidRDefault="003602AD" w:rsidP="004C2DA3">
      <w:pPr>
        <w:bidi/>
        <w:ind w:firstLine="360"/>
        <w:jc w:val="mediumKashida"/>
        <w:rPr>
          <w:sz w:val="32"/>
          <w:szCs w:val="32"/>
          <w:rtl/>
          <w:lang w:bidi="fa-IR"/>
        </w:rPr>
      </w:pPr>
      <w:r w:rsidRPr="004F77B3">
        <w:rPr>
          <w:rFonts w:hint="cs"/>
          <w:rtl/>
          <w:lang w:bidi="fa-IR"/>
        </w:rPr>
        <w:t>دادگاه استیناف ایالات متحده آمریکا در پرونده پاسونز و وایت مور</w:t>
      </w:r>
      <w:r>
        <w:rPr>
          <w:rFonts w:hint="cs"/>
          <w:rtl/>
          <w:lang w:bidi="fa-IR"/>
        </w:rPr>
        <w:t xml:space="preserve"> اظهار نمود که اصطلاح نظم عمومی معادل</w:t>
      </w:r>
      <w:r w:rsidRPr="004F77B3">
        <w:rPr>
          <w:rFonts w:hint="cs"/>
          <w:rtl/>
          <w:lang w:bidi="fa-IR"/>
        </w:rPr>
        <w:t xml:space="preserve"> سیاست ملی نیست (در م</w:t>
      </w:r>
      <w:r>
        <w:rPr>
          <w:rFonts w:hint="cs"/>
          <w:rtl/>
          <w:lang w:bidi="fa-IR"/>
        </w:rPr>
        <w:t xml:space="preserve">عنای سیاست خارجی یا دیپلماتیک) از این‌رو </w:t>
      </w:r>
      <w:r w:rsidRPr="004F77B3">
        <w:rPr>
          <w:rFonts w:hint="cs"/>
          <w:rtl/>
          <w:lang w:bidi="fa-IR"/>
        </w:rPr>
        <w:t>دادگاه از اجرای رأی به نفع طرف مصری به سادگی خوددادری نخواهد کرد</w:t>
      </w:r>
      <w:r>
        <w:rPr>
          <w:rFonts w:hint="cs"/>
          <w:rtl/>
          <w:lang w:bidi="fa-IR"/>
        </w:rPr>
        <w:t>، صرفاً به علت</w:t>
      </w:r>
      <w:r w:rsidRPr="004F77B3">
        <w:rPr>
          <w:rFonts w:hint="cs"/>
          <w:rtl/>
          <w:lang w:bidi="fa-IR"/>
        </w:rPr>
        <w:t xml:space="preserve"> تنشی که در آن زمان میان ایالات متحده آمریکا و مصر وجود داشته است.</w:t>
      </w:r>
      <w:r>
        <w:rPr>
          <w:rFonts w:hint="cs"/>
          <w:rtl/>
          <w:lang w:bidi="fa-IR"/>
        </w:rPr>
        <w:t xml:space="preserve"> دیوان داوری بدین نکته پی برد</w:t>
      </w:r>
      <w:r w:rsidRPr="004F77B3">
        <w:rPr>
          <w:rFonts w:hint="cs"/>
          <w:rtl/>
          <w:lang w:bidi="fa-IR"/>
        </w:rPr>
        <w:t xml:space="preserve"> که خوانده آمریکایی</w:t>
      </w:r>
      <w:r>
        <w:rPr>
          <w:rFonts w:hint="cs"/>
          <w:rtl/>
          <w:lang w:bidi="fa-IR"/>
        </w:rPr>
        <w:t xml:space="preserve"> قرارداد را نقض نموده؛ به موجب رها کردن</w:t>
      </w:r>
      <w:r w:rsidRPr="004F77B3">
        <w:rPr>
          <w:rFonts w:hint="cs"/>
          <w:rtl/>
          <w:lang w:bidi="fa-IR"/>
        </w:rPr>
        <w:t xml:space="preserve"> </w:t>
      </w:r>
      <w:r>
        <w:rPr>
          <w:rFonts w:hint="cs"/>
          <w:rtl/>
          <w:lang w:bidi="fa-IR"/>
        </w:rPr>
        <w:t>ساخت</w:t>
      </w:r>
      <w:r w:rsidRPr="004F77B3">
        <w:rPr>
          <w:rFonts w:hint="cs"/>
          <w:rtl/>
          <w:lang w:bidi="fa-IR"/>
        </w:rPr>
        <w:t xml:space="preserve"> کارخانه کاغذ مقوایی در مصر</w:t>
      </w:r>
      <w:r>
        <w:rPr>
          <w:rFonts w:hint="cs"/>
          <w:rtl/>
          <w:lang w:bidi="fa-IR"/>
        </w:rPr>
        <w:t>، دقیقاً پس</w:t>
      </w:r>
      <w:r w:rsidRPr="004F77B3">
        <w:rPr>
          <w:rFonts w:hint="cs"/>
          <w:rtl/>
          <w:lang w:bidi="fa-IR"/>
        </w:rPr>
        <w:t xml:space="preserve"> از </w:t>
      </w:r>
      <w:r>
        <w:rPr>
          <w:rFonts w:hint="cs"/>
          <w:rtl/>
          <w:lang w:bidi="fa-IR"/>
        </w:rPr>
        <w:t>قطع روابط دیپلماتیک مصر با ایالات متحده،</w:t>
      </w:r>
      <w:r w:rsidRPr="004F77B3">
        <w:rPr>
          <w:rFonts w:hint="cs"/>
          <w:rtl/>
          <w:lang w:bidi="fa-IR"/>
        </w:rPr>
        <w:t xml:space="preserve"> پیش از جنگ شش روزه اعراب و ا</w:t>
      </w:r>
      <w:r>
        <w:rPr>
          <w:rFonts w:hint="cs"/>
          <w:rtl/>
          <w:lang w:bidi="fa-IR"/>
        </w:rPr>
        <w:t>سرائیل</w:t>
      </w:r>
      <w:r w:rsidRPr="004F77B3">
        <w:rPr>
          <w:rFonts w:hint="cs"/>
          <w:rtl/>
          <w:lang w:bidi="fa-IR"/>
        </w:rPr>
        <w:t xml:space="preserve">. قاضی اسمیت در این پرونده همان معنای مذکور از نظم عمومی در بالا را </w:t>
      </w:r>
      <w:r w:rsidRPr="004F77B3">
        <w:rPr>
          <w:rFonts w:hint="cs"/>
          <w:rtl/>
          <w:lang w:bidi="fa-IR"/>
        </w:rPr>
        <w:lastRenderedPageBreak/>
        <w:t xml:space="preserve">بارها بارها به تفصیل بیان </w:t>
      </w:r>
      <w:r>
        <w:rPr>
          <w:rFonts w:hint="cs"/>
          <w:rtl/>
          <w:lang w:bidi="fa-IR"/>
        </w:rPr>
        <w:t>نمود</w:t>
      </w:r>
      <w:r w:rsidRPr="004F77B3">
        <w:rPr>
          <w:rFonts w:hint="cs"/>
          <w:rtl/>
          <w:lang w:bidi="fa-IR"/>
        </w:rPr>
        <w:t>. دادگاه</w:t>
      </w:r>
      <w:r>
        <w:rPr>
          <w:rFonts w:hint="cs"/>
          <w:sz w:val="32"/>
          <w:szCs w:val="32"/>
          <w:rtl/>
          <w:lang w:bidi="fa-IR"/>
        </w:rPr>
        <w:t xml:space="preserve"> </w:t>
      </w:r>
      <w:r>
        <w:rPr>
          <w:rFonts w:hint="cs"/>
          <w:rtl/>
          <w:lang w:bidi="fa-IR"/>
        </w:rPr>
        <w:t>متذکر شد، فقط در جایی که سیاست ملی ایفای</w:t>
      </w:r>
      <w:r w:rsidRPr="004F77B3">
        <w:rPr>
          <w:rFonts w:hint="cs"/>
          <w:rtl/>
          <w:lang w:bidi="fa-IR"/>
        </w:rPr>
        <w:t xml:space="preserve"> قرارداد را ممنوع کرده باشد</w:t>
      </w:r>
      <w:r>
        <w:rPr>
          <w:rFonts w:hint="cs"/>
          <w:rtl/>
          <w:lang w:bidi="fa-IR"/>
        </w:rPr>
        <w:t>، اجرا مورد ممانعت قرار می‌گیرد.</w:t>
      </w:r>
      <w:r w:rsidRPr="004F77B3">
        <w:rPr>
          <w:rStyle w:val="FootnoteReference"/>
          <w:rtl/>
          <w:lang w:bidi="fa-IR"/>
        </w:rPr>
        <w:footnoteReference w:id="240"/>
      </w:r>
    </w:p>
    <w:p w:rsidR="003602AD" w:rsidRDefault="003602AD" w:rsidP="004C2DA3">
      <w:pPr>
        <w:bidi/>
        <w:ind w:firstLine="360"/>
        <w:jc w:val="mediumKashida"/>
        <w:rPr>
          <w:b/>
          <w:bCs/>
          <w:sz w:val="40"/>
          <w:szCs w:val="40"/>
          <w:rtl/>
          <w:lang w:bidi="fa-IR"/>
        </w:rPr>
      </w:pPr>
    </w:p>
    <w:p w:rsidR="003602AD" w:rsidRDefault="003602AD" w:rsidP="000A47F6">
      <w:pPr>
        <w:pStyle w:val="Heading3"/>
        <w:rPr>
          <w:rtl/>
        </w:rPr>
      </w:pPr>
      <w:bookmarkStart w:id="34" w:name="_Toc397212661"/>
      <w:r>
        <w:rPr>
          <w:rFonts w:hint="cs"/>
          <w:rtl/>
        </w:rPr>
        <w:t>3-3</w:t>
      </w:r>
      <w:r w:rsidRPr="003464FA">
        <w:rPr>
          <w:rFonts w:hint="cs"/>
          <w:rtl/>
        </w:rPr>
        <w:t>) تقسیم‌بندی شکلی نظم عمومی</w:t>
      </w:r>
      <w:bookmarkEnd w:id="34"/>
    </w:p>
    <w:p w:rsidR="00514D0B" w:rsidRPr="00514D0B" w:rsidRDefault="00514D0B" w:rsidP="004C2DA3">
      <w:pPr>
        <w:bidi/>
        <w:ind w:firstLine="360"/>
        <w:rPr>
          <w:rtl/>
          <w:lang w:bidi="fa-IR"/>
        </w:rPr>
      </w:pPr>
    </w:p>
    <w:p w:rsidR="003602AD" w:rsidRDefault="003602AD" w:rsidP="004C2DA3">
      <w:pPr>
        <w:bidi/>
        <w:ind w:firstLine="360"/>
        <w:jc w:val="mediumKashida"/>
        <w:rPr>
          <w:rtl/>
          <w:lang w:bidi="fa-IR"/>
        </w:rPr>
      </w:pPr>
      <w:r>
        <w:rPr>
          <w:rFonts w:hint="cs"/>
          <w:rtl/>
          <w:lang w:bidi="fa-IR"/>
        </w:rPr>
        <w:t xml:space="preserve">نظم عمومی شکلی فرآیندی </w:t>
      </w:r>
      <w:r w:rsidRPr="00E32FD4">
        <w:rPr>
          <w:rFonts w:hint="cs"/>
          <w:rtl/>
          <w:lang w:bidi="fa-IR"/>
        </w:rPr>
        <w:t>که در آن اختلاف مورد رسیدگی واقع شده</w:t>
      </w:r>
      <w:r>
        <w:rPr>
          <w:rFonts w:hint="cs"/>
          <w:rtl/>
          <w:lang w:bidi="fa-IR"/>
        </w:rPr>
        <w:t xml:space="preserve"> است را مورد نظر دارد.</w:t>
      </w:r>
    </w:p>
    <w:p w:rsidR="003602AD" w:rsidRPr="00923D0D" w:rsidRDefault="003602AD" w:rsidP="004C2DA3">
      <w:pPr>
        <w:bidi/>
        <w:ind w:firstLine="360"/>
        <w:jc w:val="mediumKashida"/>
        <w:rPr>
          <w:rtl/>
          <w:lang w:bidi="fa-IR"/>
        </w:rPr>
      </w:pPr>
    </w:p>
    <w:p w:rsidR="003602AD" w:rsidRDefault="003602AD" w:rsidP="00C34789">
      <w:pPr>
        <w:pStyle w:val="Heading4"/>
        <w:rPr>
          <w:rtl/>
        </w:rPr>
      </w:pPr>
      <w:r w:rsidRPr="0054241E">
        <w:rPr>
          <w:rFonts w:hint="cs"/>
          <w:rtl/>
        </w:rPr>
        <w:t>3-3-1) تقلب و فساد داور</w:t>
      </w:r>
    </w:p>
    <w:p w:rsidR="0054241E" w:rsidRPr="0054241E" w:rsidRDefault="0054241E" w:rsidP="004C2DA3">
      <w:pPr>
        <w:bidi/>
        <w:ind w:firstLine="360"/>
        <w:rPr>
          <w:lang w:bidi="fa-IR"/>
        </w:rPr>
      </w:pPr>
    </w:p>
    <w:p w:rsidR="003602AD" w:rsidRPr="00252FAA" w:rsidRDefault="003602AD" w:rsidP="004C2DA3">
      <w:pPr>
        <w:bidi/>
        <w:ind w:firstLine="360"/>
        <w:jc w:val="mediumKashida"/>
        <w:rPr>
          <w:rtl/>
          <w:lang w:bidi="fa-IR"/>
        </w:rPr>
      </w:pPr>
      <w:r>
        <w:rPr>
          <w:rFonts w:hint="cs"/>
          <w:rtl/>
          <w:lang w:bidi="fa-IR"/>
        </w:rPr>
        <w:t>بر سراین موضوع</w:t>
      </w:r>
      <w:r w:rsidRPr="00252FAA">
        <w:rPr>
          <w:rFonts w:hint="cs"/>
          <w:rtl/>
          <w:lang w:bidi="fa-IR"/>
        </w:rPr>
        <w:t xml:space="preserve"> که اجر</w:t>
      </w:r>
      <w:r>
        <w:rPr>
          <w:rFonts w:hint="cs"/>
          <w:rtl/>
          <w:lang w:bidi="fa-IR"/>
        </w:rPr>
        <w:t>ای رأی بایستی مورد امتناع قرار گیرد، در صورتی که</w:t>
      </w:r>
      <w:r w:rsidRPr="00252FAA">
        <w:rPr>
          <w:rFonts w:hint="cs"/>
          <w:rtl/>
          <w:lang w:bidi="fa-IR"/>
        </w:rPr>
        <w:t xml:space="preserve"> تحت تأثیر یا ناشی از تقلب یا فساد بوده باشد</w:t>
      </w:r>
      <w:r>
        <w:rPr>
          <w:rFonts w:hint="cs"/>
          <w:rtl/>
          <w:lang w:bidi="fa-IR"/>
        </w:rPr>
        <w:t>،</w:t>
      </w:r>
      <w:r w:rsidRPr="00D121E9">
        <w:rPr>
          <w:rFonts w:hint="cs"/>
          <w:rtl/>
          <w:lang w:bidi="fa-IR"/>
        </w:rPr>
        <w:t xml:space="preserve"> </w:t>
      </w:r>
      <w:r>
        <w:rPr>
          <w:rFonts w:hint="cs"/>
          <w:rtl/>
          <w:lang w:bidi="fa-IR"/>
        </w:rPr>
        <w:t>بدون شک اجماع بین‌المللی وجود دارد. برای مثال در</w:t>
      </w:r>
      <w:r w:rsidRPr="00252FAA">
        <w:rPr>
          <w:rFonts w:hint="cs"/>
          <w:rtl/>
          <w:lang w:bidi="fa-IR"/>
        </w:rPr>
        <w:t xml:space="preserve"> گزارش کمیسیون آنسیترال بیان شد</w:t>
      </w:r>
      <w:r>
        <w:rPr>
          <w:rFonts w:hint="cs"/>
          <w:rtl/>
          <w:lang w:bidi="fa-IR"/>
        </w:rPr>
        <w:t>ه</w:t>
      </w:r>
      <w:r w:rsidRPr="00252FAA">
        <w:rPr>
          <w:rFonts w:hint="cs"/>
          <w:rtl/>
          <w:lang w:bidi="fa-IR"/>
        </w:rPr>
        <w:t xml:space="preserve">: </w:t>
      </w:r>
      <w:r w:rsidRPr="00252FAA">
        <w:rPr>
          <w:rFonts w:cs="Times New Roman" w:hint="cs"/>
          <w:rtl/>
          <w:lang w:bidi="fa-IR"/>
        </w:rPr>
        <w:t>"</w:t>
      </w:r>
      <w:r>
        <w:rPr>
          <w:rFonts w:hint="cs"/>
          <w:rtl/>
          <w:lang w:bidi="fa-IR"/>
        </w:rPr>
        <w:t>این نکته دانسته شده است که، اصطلاح نظم عمومی مندرج در</w:t>
      </w:r>
      <w:r w:rsidRPr="00252FAA">
        <w:rPr>
          <w:rFonts w:hint="cs"/>
          <w:rtl/>
          <w:lang w:bidi="fa-IR"/>
        </w:rPr>
        <w:t xml:space="preserve"> کنوانسیون نیویورک 1958</w:t>
      </w:r>
      <w:r>
        <w:rPr>
          <w:rFonts w:hint="cs"/>
          <w:rtl/>
          <w:lang w:bidi="fa-IR"/>
        </w:rPr>
        <w:t xml:space="preserve"> و بسیاری از معاهدات دیگر؛</w:t>
      </w:r>
      <w:r w:rsidRPr="00252FAA">
        <w:rPr>
          <w:rFonts w:hint="cs"/>
          <w:rtl/>
          <w:lang w:bidi="fa-IR"/>
        </w:rPr>
        <w:t xml:space="preserve"> اصول کلی حقوقی و عدالت در زمینه ماهوی را </w:t>
      </w:r>
      <w:r>
        <w:rPr>
          <w:rFonts w:hint="cs"/>
          <w:rtl/>
          <w:lang w:bidi="fa-IR"/>
        </w:rPr>
        <w:t xml:space="preserve">پوشش داده </w:t>
      </w:r>
      <w:r w:rsidRPr="00252FAA">
        <w:rPr>
          <w:rFonts w:hint="cs"/>
          <w:rtl/>
          <w:lang w:bidi="fa-IR"/>
        </w:rPr>
        <w:t>همچن</w:t>
      </w:r>
      <w:r>
        <w:rPr>
          <w:rFonts w:hint="cs"/>
          <w:rtl/>
          <w:lang w:bidi="fa-IR"/>
        </w:rPr>
        <w:t>ا</w:t>
      </w:r>
      <w:r w:rsidRPr="00252FAA">
        <w:rPr>
          <w:rFonts w:hint="cs"/>
          <w:rtl/>
          <w:lang w:bidi="fa-IR"/>
        </w:rPr>
        <w:t>ن</w:t>
      </w:r>
      <w:r>
        <w:rPr>
          <w:rFonts w:hint="cs"/>
          <w:rtl/>
          <w:lang w:bidi="fa-IR"/>
        </w:rPr>
        <w:t xml:space="preserve"> که</w:t>
      </w:r>
      <w:r w:rsidRPr="00252FAA">
        <w:rPr>
          <w:rFonts w:hint="cs"/>
          <w:rtl/>
          <w:lang w:bidi="fa-IR"/>
        </w:rPr>
        <w:t xml:space="preserve"> در زمینه شکلی </w:t>
      </w:r>
      <w:r>
        <w:rPr>
          <w:rFonts w:hint="cs"/>
          <w:rtl/>
          <w:lang w:bidi="fa-IR"/>
        </w:rPr>
        <w:t>نیزاین‌گونه بوده است</w:t>
      </w:r>
      <w:r w:rsidRPr="00252FAA">
        <w:rPr>
          <w:rFonts w:hint="cs"/>
          <w:rtl/>
          <w:lang w:bidi="fa-IR"/>
        </w:rPr>
        <w:t xml:space="preserve">. بنا بر این مواردی مانند فساد، رشوه و </w:t>
      </w:r>
      <w:r w:rsidRPr="00252FAA">
        <w:rPr>
          <w:rFonts w:hint="cs"/>
          <w:rtl/>
          <w:lang w:bidi="fa-IR"/>
        </w:rPr>
        <w:lastRenderedPageBreak/>
        <w:t>تقلب و نمونه‌هایی از این دست زمینه برای کنار گذاشتن آراء را تشکیل خواهند داد.</w:t>
      </w:r>
      <w:r w:rsidRPr="00252FAA">
        <w:rPr>
          <w:rFonts w:cs="Times New Roman" w:hint="cs"/>
          <w:rtl/>
          <w:lang w:bidi="fa-IR"/>
        </w:rPr>
        <w:t xml:space="preserve">" </w:t>
      </w:r>
      <w:r w:rsidRPr="00252FAA">
        <w:rPr>
          <w:rStyle w:val="FootnoteReference"/>
          <w:rFonts w:cs="Times New Roman"/>
          <w:rtl/>
          <w:lang w:bidi="fa-IR"/>
        </w:rPr>
        <w:footnoteReference w:id="241"/>
      </w:r>
    </w:p>
    <w:p w:rsidR="003602AD" w:rsidRPr="00252FAA" w:rsidRDefault="003602AD" w:rsidP="004C2DA3">
      <w:pPr>
        <w:bidi/>
        <w:ind w:firstLine="360"/>
        <w:jc w:val="mediumKashida"/>
        <w:rPr>
          <w:rtl/>
          <w:lang w:bidi="fa-IR"/>
        </w:rPr>
      </w:pPr>
      <w:r w:rsidRPr="00252FAA">
        <w:rPr>
          <w:rFonts w:hint="cs"/>
          <w:rtl/>
          <w:lang w:bidi="fa-IR"/>
        </w:rPr>
        <w:t>استرالیا</w:t>
      </w:r>
      <w:r w:rsidRPr="00252FAA">
        <w:rPr>
          <w:rStyle w:val="FootnoteReference"/>
          <w:rtl/>
          <w:lang w:bidi="fa-IR"/>
        </w:rPr>
        <w:footnoteReference w:id="242"/>
      </w:r>
      <w:r w:rsidRPr="00252FAA">
        <w:rPr>
          <w:rFonts w:hint="cs"/>
          <w:rtl/>
          <w:lang w:bidi="fa-IR"/>
        </w:rPr>
        <w:t>، نیوزلند</w:t>
      </w:r>
      <w:r w:rsidRPr="00252FAA">
        <w:rPr>
          <w:rStyle w:val="FootnoteReference"/>
          <w:rtl/>
          <w:lang w:bidi="fa-IR"/>
        </w:rPr>
        <w:footnoteReference w:id="243"/>
      </w:r>
      <w:r w:rsidRPr="00252FAA">
        <w:rPr>
          <w:rFonts w:hint="cs"/>
          <w:rtl/>
          <w:lang w:bidi="fa-IR"/>
        </w:rPr>
        <w:t>، هندوستان</w:t>
      </w:r>
      <w:r w:rsidRPr="00252FAA">
        <w:rPr>
          <w:rStyle w:val="FootnoteReference"/>
          <w:rtl/>
          <w:lang w:bidi="fa-IR"/>
        </w:rPr>
        <w:footnoteReference w:id="244"/>
      </w:r>
      <w:r w:rsidRPr="00252FAA">
        <w:rPr>
          <w:rFonts w:hint="cs"/>
          <w:rtl/>
          <w:lang w:bidi="fa-IR"/>
        </w:rPr>
        <w:t xml:space="preserve"> و زیمبابوه</w:t>
      </w:r>
      <w:r w:rsidRPr="00252FAA">
        <w:rPr>
          <w:rStyle w:val="FootnoteReference"/>
          <w:rtl/>
          <w:lang w:bidi="fa-IR"/>
        </w:rPr>
        <w:footnoteReference w:id="245"/>
      </w:r>
      <w:r w:rsidRPr="00252FAA">
        <w:rPr>
          <w:rFonts w:hint="cs"/>
          <w:rtl/>
          <w:lang w:bidi="fa-IR"/>
        </w:rPr>
        <w:t xml:space="preserve"> نسخه اصلاح شده قانون نمونه آنسیترال را تصویب کرده‌اند </w:t>
      </w:r>
      <w:r>
        <w:rPr>
          <w:rFonts w:hint="cs"/>
          <w:rtl/>
          <w:lang w:bidi="fa-IR"/>
        </w:rPr>
        <w:t>که مقرر می‌دارد:</w:t>
      </w:r>
      <w:r w:rsidRPr="00252FAA">
        <w:rPr>
          <w:rFonts w:hint="cs"/>
          <w:rtl/>
          <w:lang w:bidi="fa-IR"/>
        </w:rPr>
        <w:t xml:space="preserve"> </w:t>
      </w:r>
      <w:r w:rsidRPr="00252FAA">
        <w:rPr>
          <w:rFonts w:cs="Times New Roman" w:hint="cs"/>
          <w:rtl/>
          <w:lang w:bidi="fa-IR"/>
        </w:rPr>
        <w:t>"</w:t>
      </w:r>
      <w:r w:rsidRPr="00252FAA">
        <w:rPr>
          <w:rFonts w:hint="cs"/>
          <w:rtl/>
          <w:lang w:bidi="fa-IR"/>
        </w:rPr>
        <w:t>برای اجتناب از شک</w:t>
      </w:r>
      <w:r w:rsidRPr="00252FAA">
        <w:rPr>
          <w:rFonts w:cs="Times New Roman" w:hint="cs"/>
          <w:rtl/>
          <w:lang w:bidi="fa-IR"/>
        </w:rPr>
        <w:t>"</w:t>
      </w:r>
      <w:r w:rsidRPr="00252FAA">
        <w:rPr>
          <w:rFonts w:hint="cs"/>
          <w:rtl/>
          <w:lang w:bidi="fa-IR"/>
        </w:rPr>
        <w:t xml:space="preserve"> و </w:t>
      </w:r>
      <w:r w:rsidRPr="00252FAA">
        <w:rPr>
          <w:rFonts w:cs="Times New Roman" w:hint="cs"/>
          <w:rtl/>
          <w:lang w:bidi="fa-IR"/>
        </w:rPr>
        <w:t>"</w:t>
      </w:r>
      <w:r w:rsidRPr="00252FAA">
        <w:rPr>
          <w:rFonts w:hint="cs"/>
          <w:rtl/>
          <w:lang w:bidi="fa-IR"/>
        </w:rPr>
        <w:t>بدون محدود کردن کلیت</w:t>
      </w:r>
      <w:r w:rsidRPr="00252FAA">
        <w:rPr>
          <w:rFonts w:cs="Times New Roman" w:hint="cs"/>
          <w:rtl/>
          <w:lang w:bidi="fa-IR"/>
        </w:rPr>
        <w:t>"</w:t>
      </w:r>
      <w:r w:rsidRPr="00252FAA">
        <w:rPr>
          <w:rFonts w:hint="cs"/>
          <w:rtl/>
          <w:lang w:bidi="fa-IR"/>
        </w:rPr>
        <w:t xml:space="preserve"> مواد 34 و 36 (قانون نمونه)، رأ</w:t>
      </w:r>
      <w:r>
        <w:rPr>
          <w:rFonts w:hint="cs"/>
          <w:rtl/>
          <w:lang w:bidi="fa-IR"/>
        </w:rPr>
        <w:t>ی</w:t>
      </w:r>
      <w:r w:rsidRPr="00252FAA">
        <w:rPr>
          <w:rFonts w:hint="cs"/>
          <w:rtl/>
          <w:lang w:bidi="fa-IR"/>
        </w:rPr>
        <w:t xml:space="preserve"> </w:t>
      </w:r>
      <w:r>
        <w:rPr>
          <w:rFonts w:hint="cs"/>
          <w:rtl/>
          <w:lang w:bidi="fa-IR"/>
        </w:rPr>
        <w:t>در تعارض با</w:t>
      </w:r>
      <w:r w:rsidRPr="00252FAA">
        <w:rPr>
          <w:rFonts w:hint="cs"/>
          <w:rtl/>
          <w:lang w:bidi="fa-IR"/>
        </w:rPr>
        <w:t xml:space="preserve"> نظم عمومی است</w:t>
      </w:r>
      <w:r>
        <w:rPr>
          <w:rFonts w:hint="cs"/>
          <w:rtl/>
          <w:lang w:bidi="fa-IR"/>
        </w:rPr>
        <w:t>، در صورتی که</w:t>
      </w:r>
      <w:r w:rsidRPr="00252FAA">
        <w:rPr>
          <w:rFonts w:hint="cs"/>
          <w:rtl/>
          <w:lang w:bidi="fa-IR"/>
        </w:rPr>
        <w:t xml:space="preserve"> </w:t>
      </w:r>
      <w:r w:rsidRPr="00252FAA">
        <w:rPr>
          <w:rFonts w:cs="Times New Roman" w:hint="cs"/>
          <w:rtl/>
          <w:lang w:bidi="fa-IR"/>
        </w:rPr>
        <w:t>"</w:t>
      </w:r>
      <w:r>
        <w:rPr>
          <w:rFonts w:hint="cs"/>
          <w:rtl/>
          <w:lang w:bidi="fa-IR"/>
        </w:rPr>
        <w:t xml:space="preserve">صدور آن </w:t>
      </w:r>
      <w:r w:rsidRPr="00252FAA">
        <w:rPr>
          <w:rFonts w:hint="cs"/>
          <w:rtl/>
          <w:lang w:bidi="fa-IR"/>
        </w:rPr>
        <w:t>در اثر القاء یا تحت تأثیر تقلب و فساد بوده باشد</w:t>
      </w:r>
      <w:r>
        <w:rPr>
          <w:rFonts w:hint="cs"/>
          <w:rtl/>
          <w:lang w:bidi="fa-IR"/>
        </w:rPr>
        <w:t>.</w:t>
      </w:r>
      <w:r w:rsidRPr="00252FAA">
        <w:rPr>
          <w:rFonts w:cs="Times New Roman" w:hint="cs"/>
          <w:rtl/>
          <w:lang w:bidi="fa-IR"/>
        </w:rPr>
        <w:t>"</w:t>
      </w:r>
    </w:p>
    <w:p w:rsidR="003602AD" w:rsidRPr="00252FAA" w:rsidRDefault="003602AD" w:rsidP="004C2DA3">
      <w:pPr>
        <w:bidi/>
        <w:ind w:firstLine="360"/>
        <w:jc w:val="mediumKashida"/>
        <w:rPr>
          <w:rtl/>
          <w:lang w:bidi="fa-IR"/>
        </w:rPr>
      </w:pPr>
      <w:r w:rsidRPr="00252FAA">
        <w:rPr>
          <w:rFonts w:hint="cs"/>
          <w:rtl/>
          <w:lang w:bidi="fa-IR"/>
        </w:rPr>
        <w:t>کنوانسیون ایکسید یکی از زمینه‌های ابطال رأی را مشتمل بر این می‌داند</w:t>
      </w:r>
      <w:r>
        <w:rPr>
          <w:rFonts w:hint="cs"/>
          <w:rtl/>
          <w:lang w:bidi="fa-IR"/>
        </w:rPr>
        <w:t xml:space="preserve"> که</w:t>
      </w:r>
      <w:r w:rsidRPr="00252FAA">
        <w:rPr>
          <w:rFonts w:hint="cs"/>
          <w:rtl/>
          <w:lang w:bidi="fa-IR"/>
        </w:rPr>
        <w:t xml:space="preserve"> </w:t>
      </w:r>
      <w:r w:rsidRPr="00252FAA">
        <w:rPr>
          <w:rFonts w:cs="Times New Roman" w:hint="cs"/>
          <w:rtl/>
          <w:lang w:bidi="fa-IR"/>
        </w:rPr>
        <w:t>"</w:t>
      </w:r>
      <w:r>
        <w:rPr>
          <w:rFonts w:hint="cs"/>
          <w:rtl/>
          <w:lang w:bidi="fa-IR"/>
        </w:rPr>
        <w:t>فساد در قسمتی از ا</w:t>
      </w:r>
      <w:r w:rsidRPr="00252FAA">
        <w:rPr>
          <w:rFonts w:hint="cs"/>
          <w:rtl/>
          <w:lang w:bidi="fa-IR"/>
        </w:rPr>
        <w:t>عض</w:t>
      </w:r>
      <w:r>
        <w:rPr>
          <w:rFonts w:hint="cs"/>
          <w:rtl/>
          <w:lang w:bidi="fa-IR"/>
        </w:rPr>
        <w:t>ای</w:t>
      </w:r>
      <w:r w:rsidRPr="00252FAA">
        <w:rPr>
          <w:rFonts w:hint="cs"/>
          <w:rtl/>
          <w:lang w:bidi="fa-IR"/>
        </w:rPr>
        <w:t xml:space="preserve"> دیوان</w:t>
      </w:r>
      <w:r>
        <w:rPr>
          <w:rFonts w:hint="cs"/>
          <w:rtl/>
          <w:lang w:bidi="fa-IR"/>
        </w:rPr>
        <w:t xml:space="preserve"> داوری</w:t>
      </w:r>
      <w:r w:rsidRPr="00252FAA">
        <w:rPr>
          <w:rFonts w:hint="cs"/>
          <w:rtl/>
          <w:lang w:bidi="fa-IR"/>
        </w:rPr>
        <w:t xml:space="preserve"> وجود داشته باشد</w:t>
      </w:r>
      <w:r w:rsidRPr="00252FAA">
        <w:rPr>
          <w:rFonts w:cs="Times New Roman" w:hint="cs"/>
          <w:rtl/>
          <w:lang w:bidi="fa-IR"/>
        </w:rPr>
        <w:t>"</w:t>
      </w:r>
      <w:r w:rsidRPr="00252FAA">
        <w:rPr>
          <w:rFonts w:hint="cs"/>
          <w:rtl/>
          <w:lang w:bidi="fa-IR"/>
        </w:rPr>
        <w:t xml:space="preserve"> (ماده (</w:t>
      </w:r>
      <w:r>
        <w:rPr>
          <w:rFonts w:hint="cs"/>
          <w:rtl/>
          <w:lang w:bidi="fa-IR"/>
        </w:rPr>
        <w:t>ج</w:t>
      </w:r>
      <w:r w:rsidRPr="00252FAA">
        <w:rPr>
          <w:rFonts w:hint="cs"/>
          <w:rtl/>
          <w:lang w:bidi="fa-IR"/>
        </w:rPr>
        <w:t xml:space="preserve">)52). </w:t>
      </w:r>
    </w:p>
    <w:p w:rsidR="003602AD" w:rsidRPr="00252FAA" w:rsidRDefault="003602AD" w:rsidP="004C2DA3">
      <w:pPr>
        <w:bidi/>
        <w:ind w:firstLine="360"/>
        <w:jc w:val="mediumKashida"/>
        <w:rPr>
          <w:rtl/>
          <w:lang w:bidi="fa-IR"/>
        </w:rPr>
      </w:pPr>
      <w:r w:rsidRPr="00252FAA">
        <w:rPr>
          <w:rFonts w:hint="cs"/>
          <w:rtl/>
          <w:lang w:bidi="fa-IR"/>
        </w:rPr>
        <w:t>تقلب دلالت بر ارتکاب برخی اعمال حیله‌گرانه از</w:t>
      </w:r>
      <w:r>
        <w:rPr>
          <w:rFonts w:hint="cs"/>
          <w:rtl/>
          <w:lang w:bidi="fa-IR"/>
        </w:rPr>
        <w:t xml:space="preserve"> سوی</w:t>
      </w:r>
      <w:r w:rsidRPr="00252FAA">
        <w:rPr>
          <w:rFonts w:hint="cs"/>
          <w:rtl/>
          <w:lang w:bidi="fa-IR"/>
        </w:rPr>
        <w:t xml:space="preserve"> دیوان یا یکی از طرفین دارد (به عنوان مثال اسناد مجعول، شهادت دروغ).</w:t>
      </w:r>
    </w:p>
    <w:p w:rsidR="003602AD" w:rsidRPr="00252FAA" w:rsidRDefault="003602AD" w:rsidP="004C2DA3">
      <w:pPr>
        <w:bidi/>
        <w:ind w:firstLine="360"/>
        <w:jc w:val="mediumKashida"/>
        <w:rPr>
          <w:rtl/>
          <w:lang w:bidi="fa-IR"/>
        </w:rPr>
      </w:pPr>
      <w:r w:rsidRPr="00252FAA">
        <w:rPr>
          <w:rFonts w:hint="cs"/>
          <w:rtl/>
          <w:lang w:bidi="fa-IR"/>
        </w:rPr>
        <w:t>در مورد</w:t>
      </w:r>
      <w:r>
        <w:rPr>
          <w:rFonts w:hint="cs"/>
          <w:rtl/>
          <w:lang w:bidi="fa-IR"/>
        </w:rPr>
        <w:t xml:space="preserve"> لزوم اثبات این موضوع</w:t>
      </w:r>
      <w:r w:rsidRPr="00252FAA">
        <w:rPr>
          <w:rFonts w:hint="cs"/>
          <w:rtl/>
          <w:lang w:bidi="fa-IR"/>
        </w:rPr>
        <w:t xml:space="preserve"> که تقلب و فساد نتیجه را تحت تأثیر قرار داده‌اند، اختلاف نظرهایی وجود دارد. انجمن حقوق بین‌الملل در این مورد بر این عقیده است که</w:t>
      </w:r>
      <w:r>
        <w:rPr>
          <w:rFonts w:hint="cs"/>
          <w:rtl/>
          <w:lang w:bidi="fa-IR"/>
        </w:rPr>
        <w:t xml:space="preserve"> در جایی که تقلب</w:t>
      </w:r>
      <w:r w:rsidRPr="00252FAA">
        <w:rPr>
          <w:rFonts w:hint="cs"/>
          <w:rtl/>
          <w:lang w:bidi="fa-IR"/>
        </w:rPr>
        <w:t xml:space="preserve"> ت</w:t>
      </w:r>
      <w:r>
        <w:rPr>
          <w:rFonts w:hint="cs"/>
          <w:rtl/>
          <w:lang w:bidi="fa-IR"/>
        </w:rPr>
        <w:t xml:space="preserve">وسط دیوان صورت </w:t>
      </w:r>
      <w:r w:rsidRPr="00252FAA">
        <w:rPr>
          <w:rFonts w:hint="cs"/>
          <w:rtl/>
          <w:lang w:bidi="fa-IR"/>
        </w:rPr>
        <w:t>‌</w:t>
      </w:r>
      <w:r>
        <w:rPr>
          <w:rFonts w:hint="cs"/>
          <w:rtl/>
          <w:lang w:bidi="fa-IR"/>
        </w:rPr>
        <w:t>ب</w:t>
      </w:r>
      <w:r w:rsidRPr="00252FAA">
        <w:rPr>
          <w:rFonts w:hint="cs"/>
          <w:rtl/>
          <w:lang w:bidi="fa-IR"/>
        </w:rPr>
        <w:t>گیرد</w:t>
      </w:r>
      <w:r>
        <w:rPr>
          <w:rFonts w:hint="cs"/>
          <w:rtl/>
          <w:lang w:bidi="fa-IR"/>
        </w:rPr>
        <w:t>، بایستی</w:t>
      </w:r>
      <w:r w:rsidRPr="00252FAA">
        <w:rPr>
          <w:rFonts w:hint="cs"/>
          <w:rtl/>
          <w:lang w:bidi="fa-IR"/>
        </w:rPr>
        <w:t xml:space="preserve"> بدون</w:t>
      </w:r>
      <w:r>
        <w:rPr>
          <w:rFonts w:hint="cs"/>
          <w:rtl/>
          <w:lang w:bidi="fa-IR"/>
        </w:rPr>
        <w:t xml:space="preserve"> لزوم</w:t>
      </w:r>
      <w:r w:rsidRPr="00252FAA">
        <w:rPr>
          <w:rFonts w:hint="cs"/>
          <w:rtl/>
          <w:lang w:bidi="fa-IR"/>
        </w:rPr>
        <w:t xml:space="preserve"> اثبات اثر آن به نتیجه</w:t>
      </w:r>
      <w:r>
        <w:rPr>
          <w:rFonts w:hint="cs"/>
          <w:rtl/>
          <w:lang w:bidi="fa-IR"/>
        </w:rPr>
        <w:t>،</w:t>
      </w:r>
      <w:r w:rsidRPr="00252FAA">
        <w:rPr>
          <w:rFonts w:hint="cs"/>
          <w:rtl/>
          <w:lang w:bidi="fa-IR"/>
        </w:rPr>
        <w:t xml:space="preserve"> رأی را غیر قابل اجرا دانست</w:t>
      </w:r>
      <w:r>
        <w:rPr>
          <w:rFonts w:hint="cs"/>
          <w:rtl/>
          <w:lang w:bidi="fa-IR"/>
        </w:rPr>
        <w:t xml:space="preserve">. اما اگر تقلب از جانب طرف </w:t>
      </w:r>
      <w:r>
        <w:rPr>
          <w:rFonts w:hint="cs"/>
          <w:rtl/>
          <w:lang w:bidi="fa-IR"/>
        </w:rPr>
        <w:lastRenderedPageBreak/>
        <w:t>پیروز صورت گرفته باشد، اثبات این‌ مسئله که</w:t>
      </w:r>
      <w:r w:rsidRPr="00252FAA">
        <w:rPr>
          <w:rFonts w:hint="cs"/>
          <w:rtl/>
          <w:lang w:bidi="fa-IR"/>
        </w:rPr>
        <w:t xml:space="preserve"> نتیجه را تحت تأثیر قرار داده</w:t>
      </w:r>
      <w:r>
        <w:rPr>
          <w:rFonts w:hint="cs"/>
          <w:rtl/>
          <w:lang w:bidi="fa-IR"/>
        </w:rPr>
        <w:t>؛</w:t>
      </w:r>
      <w:r w:rsidRPr="00252FAA">
        <w:rPr>
          <w:rFonts w:hint="cs"/>
          <w:rtl/>
          <w:lang w:bidi="fa-IR"/>
        </w:rPr>
        <w:t xml:space="preserve"> پیش از آن که رأی مورد امتناع واقع شود</w:t>
      </w:r>
      <w:r>
        <w:rPr>
          <w:rFonts w:hint="cs"/>
          <w:rtl/>
          <w:lang w:bidi="fa-IR"/>
        </w:rPr>
        <w:t>، لازم می‌نماید</w:t>
      </w:r>
      <w:r w:rsidRPr="00252FAA">
        <w:rPr>
          <w:rFonts w:hint="cs"/>
          <w:rtl/>
          <w:lang w:bidi="fa-IR"/>
        </w:rPr>
        <w:t>.</w:t>
      </w:r>
      <w:r w:rsidRPr="00252FAA">
        <w:rPr>
          <w:rStyle w:val="FootnoteReference"/>
          <w:rtl/>
          <w:lang w:bidi="fa-IR"/>
        </w:rPr>
        <w:footnoteReference w:id="246"/>
      </w:r>
      <w:r w:rsidRPr="00252FAA">
        <w:rPr>
          <w:rFonts w:hint="cs"/>
          <w:rtl/>
          <w:lang w:bidi="fa-IR"/>
        </w:rPr>
        <w:t xml:space="preserve"> </w:t>
      </w:r>
    </w:p>
    <w:p w:rsidR="003602AD" w:rsidRDefault="003602AD" w:rsidP="004C2DA3">
      <w:pPr>
        <w:bidi/>
        <w:ind w:firstLine="360"/>
        <w:jc w:val="mediumKashida"/>
        <w:rPr>
          <w:b/>
          <w:bCs/>
          <w:sz w:val="32"/>
          <w:szCs w:val="32"/>
          <w:rtl/>
          <w:lang w:bidi="fa-IR"/>
        </w:rPr>
      </w:pPr>
    </w:p>
    <w:p w:rsidR="003602AD" w:rsidRDefault="003602AD" w:rsidP="00C34789">
      <w:pPr>
        <w:pStyle w:val="Heading4"/>
        <w:rPr>
          <w:rtl/>
        </w:rPr>
      </w:pPr>
      <w:r w:rsidRPr="0054241E">
        <w:rPr>
          <w:rFonts w:hint="cs"/>
          <w:rtl/>
        </w:rPr>
        <w:t>3-3-2) نقض عدالت ذاتی و رعایت تشریفات قانونی</w:t>
      </w:r>
    </w:p>
    <w:p w:rsidR="0054241E" w:rsidRPr="0054241E" w:rsidRDefault="0054241E" w:rsidP="004C2DA3">
      <w:pPr>
        <w:ind w:firstLine="360"/>
        <w:rPr>
          <w:lang w:bidi="fa-IR"/>
        </w:rPr>
      </w:pPr>
    </w:p>
    <w:p w:rsidR="003602AD" w:rsidRPr="00252FAA" w:rsidRDefault="003602AD" w:rsidP="004C2DA3">
      <w:pPr>
        <w:bidi/>
        <w:ind w:firstLine="360"/>
        <w:jc w:val="mediumKashida"/>
        <w:rPr>
          <w:rtl/>
          <w:lang w:bidi="fa-IR"/>
        </w:rPr>
      </w:pPr>
      <w:r w:rsidRPr="00252FAA">
        <w:rPr>
          <w:rFonts w:hint="cs"/>
          <w:rtl/>
          <w:lang w:bidi="fa-IR"/>
        </w:rPr>
        <w:t>در صورتی که عدالت ذاتی یا تشریفات قانونی نقض شده باشد</w:t>
      </w:r>
      <w:r>
        <w:rPr>
          <w:rFonts w:hint="cs"/>
          <w:rtl/>
          <w:lang w:bidi="fa-IR"/>
        </w:rPr>
        <w:t>، اجرای رأی ممکن است با استناد به معیار نظم عمومی، مورد امتناع واقع شود</w:t>
      </w:r>
      <w:r w:rsidRPr="00252FAA">
        <w:rPr>
          <w:rFonts w:hint="cs"/>
          <w:rtl/>
          <w:lang w:bidi="fa-IR"/>
        </w:rPr>
        <w:t>. علاوه بر این در زمینه ماده (</w:t>
      </w:r>
      <w:r>
        <w:rPr>
          <w:rFonts w:hint="cs"/>
          <w:rtl/>
          <w:lang w:bidi="fa-IR"/>
        </w:rPr>
        <w:t>ب</w:t>
      </w:r>
      <w:r w:rsidRPr="00252FAA">
        <w:rPr>
          <w:rFonts w:hint="cs"/>
          <w:rtl/>
          <w:lang w:bidi="fa-IR"/>
        </w:rPr>
        <w:t>)(1)5 کنوانسیون نیویورک</w:t>
      </w:r>
      <w:r>
        <w:rPr>
          <w:rFonts w:hint="cs"/>
          <w:rtl/>
          <w:lang w:bidi="fa-IR"/>
        </w:rPr>
        <w:t xml:space="preserve"> نیز موجود می‌باشد. چرا</w:t>
      </w:r>
      <w:r w:rsidRPr="00252FAA">
        <w:rPr>
          <w:rFonts w:hint="cs"/>
          <w:rtl/>
          <w:lang w:bidi="fa-IR"/>
        </w:rPr>
        <w:t xml:space="preserve"> که مقرر می‌دارد</w:t>
      </w:r>
      <w:r>
        <w:rPr>
          <w:rFonts w:hint="cs"/>
          <w:rtl/>
          <w:lang w:bidi="fa-IR"/>
        </w:rPr>
        <w:t>:</w:t>
      </w:r>
      <w:r w:rsidRPr="00252FAA">
        <w:rPr>
          <w:rFonts w:hint="cs"/>
          <w:rtl/>
          <w:lang w:bidi="fa-IR"/>
        </w:rPr>
        <w:t xml:space="preserve"> </w:t>
      </w:r>
      <w:r>
        <w:rPr>
          <w:rFonts w:hint="cs"/>
          <w:rtl/>
          <w:lang w:bidi="fa-IR"/>
        </w:rPr>
        <w:t>چنانچه طرفی که</w:t>
      </w:r>
      <w:r w:rsidRPr="00252FAA">
        <w:rPr>
          <w:rFonts w:hint="cs"/>
          <w:rtl/>
          <w:lang w:bidi="fa-IR"/>
        </w:rPr>
        <w:t xml:space="preserve"> رأی</w:t>
      </w:r>
      <w:r>
        <w:rPr>
          <w:rFonts w:hint="cs"/>
          <w:rtl/>
          <w:lang w:bidi="fa-IR"/>
        </w:rPr>
        <w:t xml:space="preserve"> علیه او</w:t>
      </w:r>
      <w:r w:rsidRPr="00252FAA">
        <w:rPr>
          <w:rFonts w:hint="cs"/>
          <w:rtl/>
          <w:lang w:bidi="fa-IR"/>
        </w:rPr>
        <w:t xml:space="preserve"> استناد شده</w:t>
      </w:r>
      <w:r>
        <w:rPr>
          <w:rFonts w:hint="cs"/>
          <w:rtl/>
          <w:lang w:bidi="fa-IR"/>
        </w:rPr>
        <w:t xml:space="preserve"> است،</w:t>
      </w:r>
      <w:r w:rsidRPr="00252FAA">
        <w:rPr>
          <w:rFonts w:hint="cs"/>
          <w:rtl/>
          <w:lang w:bidi="fa-IR"/>
        </w:rPr>
        <w:t xml:space="preserve"> به طور صحیح از تعیین داور یا جریان رسیدگی مطلع نشده و یا به هر علت دیگری قاد</w:t>
      </w:r>
      <w:r>
        <w:rPr>
          <w:rFonts w:hint="cs"/>
          <w:rtl/>
          <w:lang w:bidi="fa-IR"/>
        </w:rPr>
        <w:t>ر به ارائه دلایل خود نشده باشد، می‌توان از اجرای رأی خودداری نمود.</w:t>
      </w:r>
      <w:r w:rsidRPr="00252FAA">
        <w:rPr>
          <w:rFonts w:hint="cs"/>
          <w:rtl/>
          <w:lang w:bidi="fa-IR"/>
        </w:rPr>
        <w:t>.</w:t>
      </w:r>
      <w:r w:rsidRPr="00252FAA">
        <w:rPr>
          <w:rStyle w:val="FootnoteReference"/>
          <w:rtl/>
          <w:lang w:bidi="fa-IR"/>
        </w:rPr>
        <w:footnoteReference w:id="247"/>
      </w:r>
      <w:r w:rsidRPr="00252FAA">
        <w:rPr>
          <w:rFonts w:hint="cs"/>
          <w:rtl/>
          <w:lang w:bidi="fa-IR"/>
        </w:rPr>
        <w:t xml:space="preserve"> </w:t>
      </w:r>
    </w:p>
    <w:p w:rsidR="003602AD" w:rsidRPr="00252FAA" w:rsidRDefault="003602AD" w:rsidP="004C2DA3">
      <w:pPr>
        <w:bidi/>
        <w:ind w:firstLine="360"/>
        <w:jc w:val="mediumKashida"/>
        <w:rPr>
          <w:rtl/>
          <w:lang w:bidi="fa-IR"/>
        </w:rPr>
      </w:pPr>
      <w:r w:rsidRPr="00252FAA">
        <w:rPr>
          <w:rFonts w:hint="cs"/>
          <w:rtl/>
          <w:lang w:bidi="fa-IR"/>
        </w:rPr>
        <w:t>استرالیا</w:t>
      </w:r>
      <w:r w:rsidRPr="00252FAA">
        <w:rPr>
          <w:rStyle w:val="FootnoteReference"/>
          <w:rtl/>
          <w:lang w:bidi="fa-IR"/>
        </w:rPr>
        <w:footnoteReference w:id="248"/>
      </w:r>
      <w:r w:rsidRPr="00252FAA">
        <w:rPr>
          <w:rFonts w:hint="cs"/>
          <w:rtl/>
          <w:lang w:bidi="fa-IR"/>
        </w:rPr>
        <w:t>، نیوزلند</w:t>
      </w:r>
      <w:r w:rsidRPr="00252FAA">
        <w:rPr>
          <w:rStyle w:val="FootnoteReference"/>
          <w:rtl/>
          <w:lang w:bidi="fa-IR"/>
        </w:rPr>
        <w:footnoteReference w:id="249"/>
      </w:r>
      <w:r w:rsidRPr="00252FAA">
        <w:rPr>
          <w:rFonts w:hint="cs"/>
          <w:rtl/>
          <w:lang w:bidi="fa-IR"/>
        </w:rPr>
        <w:t xml:space="preserve"> و زیمبابوه</w:t>
      </w:r>
      <w:r w:rsidRPr="00252FAA">
        <w:rPr>
          <w:rStyle w:val="FootnoteReference"/>
          <w:rtl/>
          <w:lang w:bidi="fa-IR"/>
        </w:rPr>
        <w:footnoteReference w:id="250"/>
      </w:r>
      <w:r>
        <w:rPr>
          <w:rFonts w:hint="cs"/>
          <w:rtl/>
          <w:lang w:bidi="fa-IR"/>
        </w:rPr>
        <w:t xml:space="preserve"> (اما</w:t>
      </w:r>
      <w:r w:rsidRPr="00252FAA">
        <w:rPr>
          <w:rFonts w:hint="cs"/>
          <w:rtl/>
          <w:lang w:bidi="fa-IR"/>
        </w:rPr>
        <w:t xml:space="preserve"> هندوستان</w:t>
      </w:r>
      <w:r>
        <w:rPr>
          <w:rFonts w:hint="cs"/>
          <w:rtl/>
          <w:lang w:bidi="fa-IR"/>
        </w:rPr>
        <w:t xml:space="preserve"> نه</w:t>
      </w:r>
      <w:r w:rsidRPr="00252FAA">
        <w:rPr>
          <w:rFonts w:hint="cs"/>
          <w:rtl/>
          <w:lang w:bidi="fa-IR"/>
        </w:rPr>
        <w:t>) نسخه اصلاح شده قانون نمونه آنسیترال</w:t>
      </w:r>
      <w:r>
        <w:rPr>
          <w:rFonts w:hint="cs"/>
          <w:rtl/>
          <w:lang w:bidi="fa-IR"/>
        </w:rPr>
        <w:t xml:space="preserve"> را تصویب کرده‌اند که مقرر ‌داشته:</w:t>
      </w:r>
      <w:r w:rsidRPr="00252FAA">
        <w:rPr>
          <w:rFonts w:hint="cs"/>
          <w:rtl/>
          <w:lang w:bidi="fa-IR"/>
        </w:rPr>
        <w:t xml:space="preserve"> </w:t>
      </w:r>
      <w:r w:rsidRPr="00252FAA">
        <w:rPr>
          <w:rFonts w:cs="Times New Roman" w:hint="cs"/>
          <w:rtl/>
          <w:lang w:bidi="fa-IR"/>
        </w:rPr>
        <w:t>"</w:t>
      </w:r>
      <w:r w:rsidRPr="00252FAA">
        <w:rPr>
          <w:rFonts w:hint="cs"/>
          <w:rtl/>
          <w:lang w:bidi="fa-IR"/>
        </w:rPr>
        <w:t>برای اجتناب از شک</w:t>
      </w:r>
      <w:r w:rsidRPr="00252FAA">
        <w:rPr>
          <w:rFonts w:cs="Times New Roman" w:hint="cs"/>
          <w:rtl/>
          <w:lang w:bidi="fa-IR"/>
        </w:rPr>
        <w:t>"</w:t>
      </w:r>
      <w:r w:rsidRPr="00252FAA">
        <w:rPr>
          <w:rFonts w:hint="cs"/>
          <w:rtl/>
          <w:lang w:bidi="fa-IR"/>
        </w:rPr>
        <w:t xml:space="preserve"> و </w:t>
      </w:r>
      <w:r w:rsidRPr="00252FAA">
        <w:rPr>
          <w:rFonts w:cs="Times New Roman" w:hint="cs"/>
          <w:rtl/>
          <w:lang w:bidi="fa-IR"/>
        </w:rPr>
        <w:t>"</w:t>
      </w:r>
      <w:r w:rsidRPr="00252FAA">
        <w:rPr>
          <w:rFonts w:hint="cs"/>
          <w:rtl/>
          <w:lang w:bidi="fa-IR"/>
        </w:rPr>
        <w:t>بدون محدود کردن کلیت</w:t>
      </w:r>
      <w:r w:rsidRPr="00252FAA">
        <w:rPr>
          <w:rFonts w:cs="Times New Roman" w:hint="cs"/>
          <w:rtl/>
          <w:lang w:bidi="fa-IR"/>
        </w:rPr>
        <w:t>"</w:t>
      </w:r>
      <w:r w:rsidRPr="00252FAA">
        <w:rPr>
          <w:rFonts w:hint="cs"/>
          <w:rtl/>
          <w:lang w:bidi="fa-IR"/>
        </w:rPr>
        <w:t xml:space="preserve"> مواد 34 و 36 (از قانون نمونه)، رأی در تعارض با نظم عمومی است اگر </w:t>
      </w:r>
      <w:r w:rsidRPr="00252FAA">
        <w:rPr>
          <w:rFonts w:cs="Times New Roman" w:hint="cs"/>
          <w:rtl/>
          <w:lang w:bidi="fa-IR"/>
        </w:rPr>
        <w:t>"</w:t>
      </w:r>
      <w:r w:rsidRPr="00252FAA">
        <w:rPr>
          <w:rFonts w:hint="cs"/>
          <w:rtl/>
          <w:lang w:bidi="fa-IR"/>
        </w:rPr>
        <w:t>...نقض قواعد عدالت ذاتی رخ دهد...</w:t>
      </w:r>
      <w:r w:rsidRPr="00252FAA">
        <w:rPr>
          <w:rFonts w:cs="Times New Roman" w:hint="cs"/>
          <w:rtl/>
          <w:lang w:bidi="fa-IR"/>
        </w:rPr>
        <w:t>"</w:t>
      </w:r>
      <w:r w:rsidRPr="00252FAA">
        <w:rPr>
          <w:rFonts w:hint="cs"/>
          <w:rtl/>
          <w:lang w:bidi="fa-IR"/>
        </w:rPr>
        <w:t xml:space="preserve"> .</w:t>
      </w:r>
    </w:p>
    <w:p w:rsidR="003602AD" w:rsidRPr="00252FAA" w:rsidRDefault="003602AD" w:rsidP="004C2DA3">
      <w:pPr>
        <w:bidi/>
        <w:ind w:firstLine="360"/>
        <w:jc w:val="mediumKashida"/>
        <w:rPr>
          <w:rtl/>
          <w:lang w:bidi="fa-IR"/>
        </w:rPr>
      </w:pPr>
      <w:r w:rsidRPr="005A075B">
        <w:rPr>
          <w:rFonts w:hint="cs"/>
          <w:rtl/>
          <w:lang w:bidi="fa-IR"/>
        </w:rPr>
        <w:lastRenderedPageBreak/>
        <w:t>بر سر این موضوع اتفاق نظر وجود دارد که باید عدم رعایت نظم به شکل جدی وجود داشته باشد؛ برای مثال یکی از زمینه‌هایی که کنوانسیون ایکسید برای ابطال رأی ارائه می‌دهد: "</w:t>
      </w:r>
      <w:r>
        <w:rPr>
          <w:rFonts w:hint="cs"/>
          <w:rtl/>
          <w:lang w:bidi="fa-IR"/>
        </w:rPr>
        <w:t xml:space="preserve"> وجود</w:t>
      </w:r>
      <w:r w:rsidRPr="005A075B">
        <w:rPr>
          <w:rFonts w:hint="cs"/>
          <w:rtl/>
          <w:lang w:bidi="fa-IR"/>
        </w:rPr>
        <w:t xml:space="preserve"> انحراف جدی از یک قاعده اساسی شکلی می‌باشد" </w:t>
      </w:r>
      <w:r w:rsidRPr="00252FAA">
        <w:rPr>
          <w:rFonts w:hint="cs"/>
          <w:rtl/>
          <w:lang w:bidi="fa-IR"/>
        </w:rPr>
        <w:t>(ماده (</w:t>
      </w:r>
      <w:r>
        <w:rPr>
          <w:rFonts w:hint="cs"/>
          <w:rtl/>
          <w:lang w:bidi="fa-IR"/>
        </w:rPr>
        <w:t>د</w:t>
      </w:r>
      <w:r w:rsidRPr="00252FAA">
        <w:rPr>
          <w:rFonts w:hint="cs"/>
          <w:rtl/>
          <w:lang w:bidi="fa-IR"/>
        </w:rPr>
        <w:t>)52).</w:t>
      </w:r>
    </w:p>
    <w:p w:rsidR="003602AD" w:rsidRDefault="003602AD" w:rsidP="004C2DA3">
      <w:pPr>
        <w:bidi/>
        <w:ind w:firstLine="360"/>
        <w:jc w:val="mediumKashida"/>
        <w:rPr>
          <w:rtl/>
          <w:lang w:bidi="fa-IR"/>
        </w:rPr>
      </w:pPr>
      <w:r w:rsidRPr="00252FAA">
        <w:rPr>
          <w:rFonts w:hint="cs"/>
          <w:rtl/>
          <w:lang w:bidi="fa-IR"/>
        </w:rPr>
        <w:t>ب</w:t>
      </w:r>
      <w:r>
        <w:rPr>
          <w:rFonts w:hint="cs"/>
          <w:rtl/>
          <w:lang w:bidi="fa-IR"/>
        </w:rPr>
        <w:t>رخی متذکر شده‌اند که بسیار مبرهن است که</w:t>
      </w:r>
      <w:r w:rsidRPr="00252FAA">
        <w:rPr>
          <w:rFonts w:hint="cs"/>
          <w:rtl/>
          <w:lang w:bidi="fa-IR"/>
        </w:rPr>
        <w:t xml:space="preserve"> نظم</w:t>
      </w:r>
      <w:r>
        <w:rPr>
          <w:rFonts w:hint="cs"/>
          <w:rtl/>
          <w:lang w:bidi="fa-IR"/>
        </w:rPr>
        <w:t>،</w:t>
      </w:r>
      <w:r w:rsidRPr="00252FAA">
        <w:rPr>
          <w:rFonts w:hint="cs"/>
          <w:rtl/>
          <w:lang w:bidi="fa-IR"/>
        </w:rPr>
        <w:t xml:space="preserve"> ضرورت اساسی برای اداره روند داوری می‌باشد و در این مسئله به ندرت بحثی وجود دارد.</w:t>
      </w:r>
      <w:r w:rsidRPr="00252FAA">
        <w:rPr>
          <w:rStyle w:val="FootnoteReference"/>
          <w:rtl/>
          <w:lang w:bidi="fa-IR"/>
        </w:rPr>
        <w:footnoteReference w:id="251"/>
      </w:r>
      <w:r w:rsidRPr="00252FAA">
        <w:rPr>
          <w:rFonts w:hint="cs"/>
          <w:rtl/>
          <w:lang w:bidi="fa-IR"/>
        </w:rPr>
        <w:t xml:space="preserve"> اصول</w:t>
      </w:r>
      <w:r>
        <w:rPr>
          <w:rFonts w:hint="cs"/>
          <w:rtl/>
          <w:lang w:bidi="fa-IR"/>
        </w:rPr>
        <w:t xml:space="preserve">ی که تحت </w:t>
      </w:r>
      <w:r w:rsidRPr="00252FAA">
        <w:rPr>
          <w:rFonts w:hint="cs"/>
          <w:rtl/>
          <w:lang w:bidi="fa-IR"/>
        </w:rPr>
        <w:t xml:space="preserve"> عنوان اصول کلی داد</w:t>
      </w:r>
      <w:r>
        <w:rPr>
          <w:rFonts w:hint="cs"/>
          <w:rtl/>
          <w:lang w:bidi="fa-IR"/>
        </w:rPr>
        <w:t>رسی‌</w:t>
      </w:r>
      <w:r w:rsidR="001C7348">
        <w:rPr>
          <w:rFonts w:hint="cs"/>
          <w:rtl/>
          <w:lang w:bidi="fa-IR"/>
        </w:rPr>
        <w:t>های بین‌المللی</w:t>
      </w:r>
      <w:r>
        <w:rPr>
          <w:rFonts w:hint="cs"/>
          <w:rtl/>
          <w:lang w:bidi="fa-IR"/>
        </w:rPr>
        <w:t xml:space="preserve"> ذکر می‌شوند</w:t>
      </w:r>
      <w:r w:rsidRPr="00252FAA">
        <w:rPr>
          <w:rFonts w:hint="cs"/>
          <w:rtl/>
          <w:lang w:bidi="fa-IR"/>
        </w:rPr>
        <w:t xml:space="preserve">، مشتمل است بر: رفتار برابر با طرفین، توجه عادلانه ( به هر دو موضوع تعیین وقت و اداره </w:t>
      </w:r>
      <w:r>
        <w:rPr>
          <w:rFonts w:hint="cs"/>
          <w:rtl/>
          <w:lang w:bidi="fa-IR"/>
        </w:rPr>
        <w:t>روند رسیدگی دیوان)،</w:t>
      </w:r>
      <w:r w:rsidRPr="00252FAA">
        <w:rPr>
          <w:rFonts w:hint="cs"/>
          <w:rtl/>
          <w:lang w:bidi="fa-IR"/>
        </w:rPr>
        <w:t xml:space="preserve"> دادن فرصت عادلانه برای ارائه ادله طرفین</w:t>
      </w:r>
      <w:r>
        <w:rPr>
          <w:rFonts w:hint="cs"/>
          <w:rtl/>
          <w:lang w:bidi="fa-IR"/>
        </w:rPr>
        <w:t>؛ بد</w:t>
      </w:r>
      <w:r w:rsidRPr="00252FAA">
        <w:rPr>
          <w:rFonts w:hint="cs"/>
          <w:rtl/>
          <w:lang w:bidi="fa-IR"/>
        </w:rPr>
        <w:t xml:space="preserve">ین معنا که اطمینان خاطر برای طرفین در زمینه تبیین شواهد و مدارک وجود داشته باشد، </w:t>
      </w:r>
      <w:r>
        <w:rPr>
          <w:rFonts w:hint="cs"/>
          <w:rtl/>
          <w:lang w:bidi="fa-IR"/>
        </w:rPr>
        <w:t>دیوان باید به ادله فرعی طرفین</w:t>
      </w:r>
      <w:r w:rsidRPr="00252FAA">
        <w:rPr>
          <w:rFonts w:hint="cs"/>
          <w:rtl/>
          <w:lang w:bidi="fa-IR"/>
        </w:rPr>
        <w:t xml:space="preserve"> توجه نشان داده و فرصت عادلان</w:t>
      </w:r>
      <w:r>
        <w:rPr>
          <w:rFonts w:hint="cs"/>
          <w:rtl/>
          <w:lang w:bidi="fa-IR"/>
        </w:rPr>
        <w:t>ه و مقتضی برای ارائه به آن‌ها</w:t>
      </w:r>
      <w:r w:rsidRPr="00252FAA">
        <w:rPr>
          <w:rFonts w:hint="cs"/>
          <w:rtl/>
          <w:lang w:bidi="fa-IR"/>
        </w:rPr>
        <w:t xml:space="preserve"> بدهد.</w:t>
      </w:r>
      <w:r w:rsidRPr="00252FAA">
        <w:rPr>
          <w:rStyle w:val="FootnoteReference"/>
          <w:rtl/>
          <w:lang w:bidi="fa-IR"/>
        </w:rPr>
        <w:footnoteReference w:id="252"/>
      </w:r>
    </w:p>
    <w:p w:rsidR="003602AD" w:rsidRDefault="003602AD" w:rsidP="00C34789">
      <w:pPr>
        <w:pStyle w:val="Heading4"/>
        <w:rPr>
          <w:rtl/>
        </w:rPr>
      </w:pPr>
      <w:r>
        <w:rPr>
          <w:rFonts w:hint="cs"/>
          <w:rtl/>
        </w:rPr>
        <w:t>3</w:t>
      </w:r>
      <w:r w:rsidRPr="003464FA">
        <w:rPr>
          <w:rFonts w:hint="cs"/>
          <w:rtl/>
        </w:rPr>
        <w:t>-3-3) عدم بی‌طرفی</w:t>
      </w:r>
    </w:p>
    <w:p w:rsidR="0054241E" w:rsidRPr="0054241E" w:rsidRDefault="0054241E" w:rsidP="004C2DA3">
      <w:pPr>
        <w:bidi/>
        <w:ind w:firstLine="360"/>
        <w:rPr>
          <w:rtl/>
          <w:lang w:bidi="fa-IR"/>
        </w:rPr>
      </w:pPr>
    </w:p>
    <w:p w:rsidR="003602AD" w:rsidRDefault="003602AD" w:rsidP="004C2DA3">
      <w:pPr>
        <w:bidi/>
        <w:ind w:firstLine="360"/>
        <w:jc w:val="mediumKashida"/>
        <w:rPr>
          <w:rtl/>
          <w:lang w:bidi="fa-IR"/>
        </w:rPr>
      </w:pPr>
      <w:r>
        <w:rPr>
          <w:rFonts w:hint="cs"/>
          <w:rtl/>
          <w:lang w:bidi="fa-IR"/>
        </w:rPr>
        <w:t>به طور کلی پذیرفته شده</w:t>
      </w:r>
      <w:r w:rsidRPr="00252FAA">
        <w:rPr>
          <w:rFonts w:hint="cs"/>
          <w:rtl/>
          <w:lang w:bidi="fa-IR"/>
        </w:rPr>
        <w:t xml:space="preserve"> که عدم بی‌طرفی در</w:t>
      </w:r>
      <w:r>
        <w:rPr>
          <w:rFonts w:hint="cs"/>
          <w:rtl/>
          <w:lang w:bidi="fa-IR"/>
        </w:rPr>
        <w:t xml:space="preserve"> هر</w:t>
      </w:r>
      <w:r w:rsidRPr="00252FAA">
        <w:rPr>
          <w:rFonts w:hint="cs"/>
          <w:rtl/>
          <w:lang w:bidi="fa-IR"/>
        </w:rPr>
        <w:t xml:space="preserve"> بخشی از دیوان </w:t>
      </w:r>
      <w:r>
        <w:rPr>
          <w:rFonts w:hint="cs"/>
          <w:rtl/>
          <w:lang w:bidi="fa-IR"/>
        </w:rPr>
        <w:t xml:space="preserve">داوری </w:t>
      </w:r>
      <w:r w:rsidRPr="00252FAA">
        <w:rPr>
          <w:rFonts w:hint="cs"/>
          <w:rtl/>
          <w:lang w:bidi="fa-IR"/>
        </w:rPr>
        <w:t>زمینه‌ای برای امتناع از</w:t>
      </w:r>
      <w:r>
        <w:rPr>
          <w:rFonts w:hint="cs"/>
          <w:rtl/>
          <w:lang w:bidi="fa-IR"/>
        </w:rPr>
        <w:t xml:space="preserve"> اجرای رأی به موجب نظم عمومی قرار گیرد</w:t>
      </w:r>
      <w:r w:rsidRPr="00252FAA">
        <w:rPr>
          <w:rFonts w:hint="cs"/>
          <w:rtl/>
          <w:lang w:bidi="fa-IR"/>
        </w:rPr>
        <w:t>.</w:t>
      </w:r>
      <w:r w:rsidRPr="00252FAA">
        <w:rPr>
          <w:rStyle w:val="FootnoteReference"/>
          <w:rtl/>
          <w:lang w:bidi="fa-IR"/>
        </w:rPr>
        <w:footnoteReference w:id="253"/>
      </w:r>
      <w:r w:rsidRPr="00252FAA">
        <w:rPr>
          <w:rFonts w:hint="cs"/>
          <w:rtl/>
          <w:lang w:bidi="fa-IR"/>
        </w:rPr>
        <w:t>معمول‌تر این است که مسئله عدم بی‌طرفی نزد نهاد داوری که در زمان آغاز پروسه داوری بر</w:t>
      </w:r>
      <w:r w:rsidRPr="00252FAA">
        <w:rPr>
          <w:rtl/>
          <w:lang w:bidi="fa-IR"/>
        </w:rPr>
        <w:t xml:space="preserve"> </w:t>
      </w:r>
      <w:r w:rsidRPr="00252FAA">
        <w:rPr>
          <w:rFonts w:hint="cs"/>
          <w:rtl/>
          <w:lang w:bidi="fa-IR"/>
        </w:rPr>
        <w:t>داوری</w:t>
      </w:r>
      <w:r w:rsidRPr="00252FAA">
        <w:rPr>
          <w:rtl/>
          <w:lang w:bidi="fa-IR"/>
        </w:rPr>
        <w:t xml:space="preserve"> </w:t>
      </w:r>
      <w:r w:rsidRPr="00252FAA">
        <w:rPr>
          <w:rFonts w:hint="cs"/>
          <w:rtl/>
          <w:lang w:bidi="fa-IR"/>
        </w:rPr>
        <w:t>نظارت</w:t>
      </w:r>
      <w:r w:rsidRPr="00252FAA">
        <w:rPr>
          <w:rtl/>
          <w:lang w:bidi="fa-IR"/>
        </w:rPr>
        <w:t xml:space="preserve"> </w:t>
      </w:r>
      <w:r w:rsidRPr="00252FAA">
        <w:rPr>
          <w:rFonts w:hint="cs"/>
          <w:rtl/>
          <w:lang w:bidi="fa-IR"/>
        </w:rPr>
        <w:t>می‌کند، (</w:t>
      </w:r>
      <w:r>
        <w:rPr>
          <w:rFonts w:hint="cs"/>
          <w:rtl/>
          <w:lang w:bidi="fa-IR"/>
        </w:rPr>
        <w:t xml:space="preserve"> به عنوان</w:t>
      </w:r>
      <w:r w:rsidRPr="00252FAA">
        <w:rPr>
          <w:rFonts w:hint="cs"/>
          <w:rtl/>
          <w:lang w:bidi="fa-IR"/>
        </w:rPr>
        <w:t xml:space="preserve"> یک چالش مربوط به آینده داور)و همچنین نزد </w:t>
      </w:r>
      <w:r w:rsidRPr="00252FAA">
        <w:rPr>
          <w:rFonts w:hint="cs"/>
          <w:rtl/>
          <w:lang w:bidi="fa-IR"/>
        </w:rPr>
        <w:lastRenderedPageBreak/>
        <w:t>دادگاه دارای صلاحیت نظارت بر روند داوری مطرح بشود تا این که در مرحله اجرای رأی مورد بررسی قرار گیرد.</w:t>
      </w:r>
      <w:r w:rsidRPr="00252FAA">
        <w:rPr>
          <w:rStyle w:val="FootnoteReference"/>
          <w:rtl/>
          <w:lang w:bidi="fa-IR"/>
        </w:rPr>
        <w:footnoteReference w:id="254"/>
      </w:r>
    </w:p>
    <w:p w:rsidR="003602AD" w:rsidRDefault="003602AD" w:rsidP="004C2DA3">
      <w:pPr>
        <w:bidi/>
        <w:ind w:firstLine="360"/>
        <w:jc w:val="mediumKashida"/>
        <w:rPr>
          <w:b/>
          <w:bCs/>
          <w:sz w:val="32"/>
          <w:szCs w:val="32"/>
          <w:rtl/>
          <w:lang w:bidi="fa-IR"/>
        </w:rPr>
      </w:pPr>
    </w:p>
    <w:p w:rsidR="003602AD" w:rsidRDefault="003602AD" w:rsidP="00C34789">
      <w:pPr>
        <w:pStyle w:val="Heading4"/>
        <w:rPr>
          <w:rtl/>
        </w:rPr>
      </w:pPr>
      <w:r w:rsidRPr="003464FA">
        <w:rPr>
          <w:rFonts w:hint="cs"/>
          <w:rtl/>
        </w:rPr>
        <w:t>3-3-4) فقدان ادله</w:t>
      </w:r>
    </w:p>
    <w:p w:rsidR="0054241E" w:rsidRPr="0054241E" w:rsidRDefault="0054241E" w:rsidP="004C2DA3">
      <w:pPr>
        <w:bidi/>
        <w:ind w:firstLine="360"/>
        <w:rPr>
          <w:rtl/>
          <w:lang w:bidi="fa-IR"/>
        </w:rPr>
      </w:pPr>
    </w:p>
    <w:p w:rsidR="003602AD" w:rsidRPr="003F6CE3" w:rsidRDefault="003602AD" w:rsidP="004C2DA3">
      <w:pPr>
        <w:bidi/>
        <w:ind w:firstLine="360"/>
        <w:jc w:val="mediumKashida"/>
        <w:rPr>
          <w:b/>
          <w:bCs/>
          <w:sz w:val="32"/>
          <w:szCs w:val="32"/>
          <w:rtl/>
          <w:lang w:bidi="fa-IR"/>
        </w:rPr>
      </w:pPr>
      <w:r w:rsidRPr="00252FAA">
        <w:rPr>
          <w:rFonts w:hint="cs"/>
          <w:rtl/>
          <w:lang w:bidi="fa-IR"/>
        </w:rPr>
        <w:t xml:space="preserve">در </w:t>
      </w:r>
      <w:r>
        <w:rPr>
          <w:rFonts w:hint="cs"/>
          <w:rtl/>
          <w:lang w:bidi="fa-IR"/>
        </w:rPr>
        <w:t>برخی از موارد مطروحه در این زمینه،</w:t>
      </w:r>
      <w:r w:rsidRPr="00252FAA">
        <w:rPr>
          <w:rFonts w:hint="cs"/>
          <w:rtl/>
          <w:lang w:bidi="fa-IR"/>
        </w:rPr>
        <w:t xml:space="preserve"> مقرر شده است که قصور در ارائه دلائل (حتی اگر ضرورت الزامی آرای صادره در کشور محل اجرا باشد) موجبی برای امتناع از اجرای رأی خارجی نیست.</w:t>
      </w:r>
      <w:r w:rsidRPr="00252FAA">
        <w:rPr>
          <w:rStyle w:val="FootnoteReference"/>
          <w:rtl/>
          <w:lang w:bidi="fa-IR"/>
        </w:rPr>
        <w:footnoteReference w:id="255"/>
      </w:r>
      <w:r w:rsidRPr="00252FAA">
        <w:rPr>
          <w:rFonts w:hint="cs"/>
          <w:rtl/>
          <w:lang w:bidi="fa-IR"/>
        </w:rPr>
        <w:t xml:space="preserve"> </w:t>
      </w:r>
      <w:r>
        <w:rPr>
          <w:rFonts w:hint="cs"/>
          <w:rtl/>
          <w:lang w:bidi="fa-IR"/>
        </w:rPr>
        <w:t>بنابراین این با توجه به وجود مثال‌هایی چند در این زمینه، این‌گونه به نظر می‌رسد که فقدان ادله نیز می‌تواند مورد چشم‌پوشی دادگاه‌ها در جریان رسیدگی به اجرای رأی قرار بگیرد.</w:t>
      </w:r>
      <w:r>
        <w:rPr>
          <w:rStyle w:val="FootnoteReference"/>
          <w:rtl/>
          <w:lang w:bidi="fa-IR"/>
        </w:rPr>
        <w:footnoteReference w:id="256"/>
      </w:r>
    </w:p>
    <w:p w:rsidR="003602AD" w:rsidRPr="00252FAA" w:rsidRDefault="003602AD" w:rsidP="004C2DA3">
      <w:pPr>
        <w:bidi/>
        <w:ind w:firstLine="360"/>
        <w:jc w:val="mediumKashida"/>
        <w:rPr>
          <w:rtl/>
          <w:lang w:bidi="fa-IR"/>
        </w:rPr>
      </w:pPr>
    </w:p>
    <w:p w:rsidR="003602AD" w:rsidRDefault="003602AD" w:rsidP="00C34789">
      <w:pPr>
        <w:pStyle w:val="Heading4"/>
        <w:rPr>
          <w:rtl/>
        </w:rPr>
      </w:pPr>
      <w:r w:rsidRPr="00A3639F">
        <w:rPr>
          <w:rFonts w:hint="cs"/>
          <w:rtl/>
        </w:rPr>
        <w:t>3</w:t>
      </w:r>
      <w:r w:rsidRPr="003464FA">
        <w:rPr>
          <w:rFonts w:hint="cs"/>
          <w:rtl/>
        </w:rPr>
        <w:t>-3-5) بی‌اعتنایی آشکار نسبت به قانون</w:t>
      </w:r>
    </w:p>
    <w:p w:rsidR="00FB673E" w:rsidRPr="00252FAA" w:rsidRDefault="00FB673E" w:rsidP="004C2DA3">
      <w:pPr>
        <w:bidi/>
        <w:ind w:firstLine="360"/>
        <w:jc w:val="mediumKashida"/>
        <w:rPr>
          <w:b/>
          <w:bCs/>
          <w:sz w:val="32"/>
          <w:szCs w:val="32"/>
          <w:rtl/>
          <w:lang w:bidi="fa-IR"/>
        </w:rPr>
      </w:pPr>
    </w:p>
    <w:p w:rsidR="003602AD" w:rsidRPr="00252FAA" w:rsidRDefault="003602AD" w:rsidP="004C2DA3">
      <w:pPr>
        <w:bidi/>
        <w:ind w:firstLine="360"/>
        <w:jc w:val="mediumKashida"/>
        <w:rPr>
          <w:rtl/>
          <w:lang w:bidi="fa-IR"/>
        </w:rPr>
      </w:pPr>
      <w:r>
        <w:rPr>
          <w:lang w:bidi="fa-IR"/>
        </w:rPr>
        <w:t xml:space="preserve"> </w:t>
      </w:r>
      <w:r>
        <w:rPr>
          <w:rFonts w:hint="cs"/>
          <w:rtl/>
          <w:lang w:bidi="fa-IR"/>
        </w:rPr>
        <w:t xml:space="preserve">برخی از </w:t>
      </w:r>
      <w:r w:rsidRPr="00252FAA">
        <w:rPr>
          <w:rFonts w:hint="cs"/>
          <w:rtl/>
          <w:lang w:bidi="fa-IR"/>
        </w:rPr>
        <w:t>دادگاه‌ها</w:t>
      </w:r>
      <w:r>
        <w:rPr>
          <w:rFonts w:hint="cs"/>
          <w:rtl/>
          <w:lang w:bidi="fa-IR"/>
        </w:rPr>
        <w:t xml:space="preserve"> این استدلال را که، تفسیر نا</w:t>
      </w:r>
      <w:r w:rsidRPr="00252FAA">
        <w:rPr>
          <w:rFonts w:hint="cs"/>
          <w:rtl/>
          <w:lang w:bidi="fa-IR"/>
        </w:rPr>
        <w:t>درست از قانون ماهوی توسط دیوان</w:t>
      </w:r>
      <w:r>
        <w:rPr>
          <w:rFonts w:hint="cs"/>
          <w:rtl/>
          <w:lang w:bidi="fa-IR"/>
        </w:rPr>
        <w:t xml:space="preserve"> داوری</w:t>
      </w:r>
      <w:r w:rsidRPr="00252FAA">
        <w:rPr>
          <w:rFonts w:hint="cs"/>
          <w:rtl/>
          <w:lang w:bidi="fa-IR"/>
        </w:rPr>
        <w:t xml:space="preserve"> دلیل</w:t>
      </w:r>
      <w:r>
        <w:rPr>
          <w:rFonts w:hint="cs"/>
          <w:rtl/>
          <w:lang w:bidi="fa-IR"/>
        </w:rPr>
        <w:t>ی</w:t>
      </w:r>
      <w:r w:rsidRPr="00252FAA">
        <w:rPr>
          <w:rFonts w:hint="cs"/>
          <w:rtl/>
          <w:lang w:bidi="fa-IR"/>
        </w:rPr>
        <w:t xml:space="preserve"> کافی برای امتناع از اجرای رأی می‌باشد را رد کرده‌اند. برای نمونه سوئیس</w:t>
      </w:r>
      <w:r w:rsidRPr="00252FAA">
        <w:rPr>
          <w:rStyle w:val="FootnoteReference"/>
          <w:rtl/>
          <w:lang w:bidi="fa-IR"/>
        </w:rPr>
        <w:footnoteReference w:id="257"/>
      </w:r>
      <w:r w:rsidRPr="00252FAA">
        <w:rPr>
          <w:rFonts w:hint="cs"/>
          <w:rtl/>
          <w:lang w:bidi="fa-IR"/>
        </w:rPr>
        <w:t>، فرانسه</w:t>
      </w:r>
      <w:r w:rsidRPr="00252FAA">
        <w:rPr>
          <w:rStyle w:val="FootnoteReference"/>
          <w:rtl/>
          <w:lang w:bidi="fa-IR"/>
        </w:rPr>
        <w:footnoteReference w:id="258"/>
      </w:r>
      <w:r w:rsidRPr="00252FAA">
        <w:rPr>
          <w:rFonts w:hint="cs"/>
          <w:rtl/>
          <w:lang w:bidi="fa-IR"/>
        </w:rPr>
        <w:t>، انگلستان</w:t>
      </w:r>
      <w:r w:rsidRPr="00252FAA">
        <w:rPr>
          <w:rStyle w:val="FootnoteReference"/>
          <w:rtl/>
          <w:lang w:bidi="fa-IR"/>
        </w:rPr>
        <w:footnoteReference w:id="259"/>
      </w:r>
      <w:r w:rsidRPr="00252FAA">
        <w:rPr>
          <w:rFonts w:hint="cs"/>
          <w:rtl/>
          <w:lang w:bidi="fa-IR"/>
        </w:rPr>
        <w:t>، آلمان</w:t>
      </w:r>
      <w:r w:rsidRPr="00252FAA">
        <w:rPr>
          <w:rStyle w:val="FootnoteReference"/>
          <w:rtl/>
          <w:lang w:bidi="fa-IR"/>
        </w:rPr>
        <w:footnoteReference w:id="260"/>
      </w:r>
      <w:r w:rsidRPr="00252FAA">
        <w:rPr>
          <w:rFonts w:hint="cs"/>
          <w:rtl/>
          <w:lang w:bidi="fa-IR"/>
        </w:rPr>
        <w:t xml:space="preserve"> و فیلیپین</w:t>
      </w:r>
      <w:r w:rsidRPr="00252FAA">
        <w:rPr>
          <w:rStyle w:val="FootnoteReference"/>
          <w:rtl/>
          <w:lang w:bidi="fa-IR"/>
        </w:rPr>
        <w:footnoteReference w:id="261"/>
      </w:r>
      <w:r w:rsidRPr="00252FAA">
        <w:rPr>
          <w:rFonts w:hint="cs"/>
          <w:rtl/>
          <w:lang w:bidi="fa-IR"/>
        </w:rPr>
        <w:t>.</w:t>
      </w:r>
    </w:p>
    <w:p w:rsidR="003602AD" w:rsidRPr="00252FAA" w:rsidRDefault="003602AD" w:rsidP="004C2DA3">
      <w:pPr>
        <w:bidi/>
        <w:ind w:firstLine="360"/>
        <w:jc w:val="mediumKashida"/>
        <w:rPr>
          <w:rtl/>
          <w:lang w:bidi="fa-IR"/>
        </w:rPr>
      </w:pPr>
      <w:r w:rsidRPr="00252FAA">
        <w:rPr>
          <w:rFonts w:hint="cs"/>
          <w:rtl/>
          <w:lang w:bidi="fa-IR"/>
        </w:rPr>
        <w:lastRenderedPageBreak/>
        <w:t xml:space="preserve">تصمیم‌گیری در مورد یک اختلاف </w:t>
      </w:r>
      <w:r>
        <w:rPr>
          <w:rFonts w:hint="cs"/>
          <w:rtl/>
          <w:lang w:bidi="fa-IR"/>
        </w:rPr>
        <w:t>بر پایه</w:t>
      </w:r>
      <w:r w:rsidRPr="00252FAA">
        <w:rPr>
          <w:rFonts w:hint="cs"/>
          <w:rtl/>
          <w:lang w:bidi="fa-IR"/>
        </w:rPr>
        <w:t xml:space="preserve"> اصول دیگر</w:t>
      </w:r>
      <w:r>
        <w:rPr>
          <w:rFonts w:hint="cs"/>
          <w:rtl/>
          <w:lang w:bidi="fa-IR"/>
        </w:rPr>
        <w:t>ی</w:t>
      </w:r>
      <w:r w:rsidRPr="00252FAA">
        <w:rPr>
          <w:rFonts w:hint="cs"/>
          <w:rtl/>
          <w:lang w:bidi="fa-IR"/>
        </w:rPr>
        <w:t xml:space="preserve"> غیر از قواعد حقوقی مقرر شده</w:t>
      </w:r>
      <w:r>
        <w:rPr>
          <w:rFonts w:hint="cs"/>
          <w:rtl/>
          <w:lang w:bidi="fa-IR"/>
        </w:rPr>
        <w:t>،</w:t>
      </w:r>
      <w:r w:rsidRPr="00252FAA">
        <w:rPr>
          <w:rFonts w:hint="cs"/>
          <w:rtl/>
          <w:lang w:bidi="fa-IR"/>
        </w:rPr>
        <w:t xml:space="preserve"> در تعارض با نظم عمومی نمی‌باشد. برا</w:t>
      </w:r>
      <w:r>
        <w:rPr>
          <w:rFonts w:hint="cs"/>
          <w:rtl/>
          <w:lang w:bidi="fa-IR"/>
        </w:rPr>
        <w:t>ی مثال دادگاه استیناف اتریش تخلفی از نظم عمومی</w:t>
      </w:r>
      <w:r w:rsidR="00A7714F">
        <w:rPr>
          <w:rFonts w:hint="cs"/>
          <w:rtl/>
          <w:lang w:bidi="fa-IR"/>
        </w:rPr>
        <w:t xml:space="preserve"> </w:t>
      </w:r>
      <w:r>
        <w:rPr>
          <w:rFonts w:hint="cs"/>
          <w:rtl/>
          <w:lang w:bidi="fa-IR"/>
        </w:rPr>
        <w:t>را بیان نداشت؛</w:t>
      </w:r>
      <w:r w:rsidRPr="00252FAA">
        <w:rPr>
          <w:rFonts w:hint="cs"/>
          <w:rtl/>
          <w:lang w:bidi="fa-IR"/>
        </w:rPr>
        <w:t xml:space="preserve"> در جایی که دیوان داوری آی سی سی مستقر در وین قانون عرفی تجاری بین‌المللی</w:t>
      </w:r>
      <w:r w:rsidRPr="00252FAA">
        <w:rPr>
          <w:rStyle w:val="FootnoteReference"/>
          <w:rFonts w:cs="Times New Roman"/>
          <w:rtl/>
          <w:lang w:bidi="fa-IR"/>
        </w:rPr>
        <w:footnoteReference w:id="262"/>
      </w:r>
      <w:r w:rsidRPr="00252FAA">
        <w:rPr>
          <w:rFonts w:hint="cs"/>
          <w:rtl/>
          <w:lang w:bidi="fa-IR"/>
        </w:rPr>
        <w:t xml:space="preserve"> را اعمال کرد.</w:t>
      </w:r>
      <w:r w:rsidRPr="00252FAA">
        <w:rPr>
          <w:rStyle w:val="FootnoteReference"/>
          <w:rtl/>
          <w:lang w:bidi="fa-IR"/>
        </w:rPr>
        <w:footnoteReference w:id="263"/>
      </w:r>
      <w:r w:rsidRPr="00252FAA">
        <w:rPr>
          <w:rFonts w:hint="cs"/>
          <w:rtl/>
          <w:lang w:bidi="fa-IR"/>
        </w:rPr>
        <w:t xml:space="preserve"> دادگاه‌های فرانسوی نیز به نتیجه مشابهی در این زمینه رسیده‌اند.</w:t>
      </w:r>
      <w:r w:rsidRPr="00252FAA">
        <w:rPr>
          <w:rStyle w:val="FootnoteReference"/>
          <w:rtl/>
          <w:lang w:bidi="fa-IR"/>
        </w:rPr>
        <w:footnoteReference w:id="264"/>
      </w:r>
      <w:r w:rsidRPr="00252FAA">
        <w:rPr>
          <w:rFonts w:hint="cs"/>
          <w:rtl/>
          <w:lang w:bidi="fa-IR"/>
        </w:rPr>
        <w:t>دادگاه استین</w:t>
      </w:r>
      <w:r>
        <w:rPr>
          <w:rFonts w:hint="cs"/>
          <w:rtl/>
          <w:lang w:bidi="fa-IR"/>
        </w:rPr>
        <w:t>اف انگلیس استدلالی که می‌توان به موجب نظم عمومی ممانعت کرد از اجرای</w:t>
      </w:r>
      <w:r w:rsidRPr="00252FAA">
        <w:rPr>
          <w:rFonts w:hint="cs"/>
          <w:rtl/>
          <w:lang w:bidi="fa-IR"/>
        </w:rPr>
        <w:t xml:space="preserve"> رأی</w:t>
      </w:r>
      <w:r>
        <w:rPr>
          <w:rFonts w:hint="cs"/>
          <w:rtl/>
          <w:lang w:bidi="fa-IR"/>
        </w:rPr>
        <w:t>ی که</w:t>
      </w:r>
      <w:r w:rsidRPr="00252FAA">
        <w:rPr>
          <w:rFonts w:hint="cs"/>
          <w:rtl/>
          <w:lang w:bidi="fa-IR"/>
        </w:rPr>
        <w:t xml:space="preserve"> مبتنی بر اصول حقوقی پذیرفته شده بین‌المللی (و به طور خاص</w:t>
      </w:r>
      <w:r>
        <w:rPr>
          <w:rFonts w:hint="cs"/>
          <w:sz w:val="32"/>
          <w:szCs w:val="32"/>
          <w:rtl/>
          <w:lang w:bidi="fa-IR"/>
        </w:rPr>
        <w:t xml:space="preserve"> </w:t>
      </w:r>
      <w:r w:rsidRPr="00252FAA">
        <w:rPr>
          <w:rFonts w:hint="cs"/>
          <w:rtl/>
          <w:lang w:bidi="fa-IR"/>
        </w:rPr>
        <w:t xml:space="preserve">رویه معمول در داوری‌های بین‌المللی به ویژه در زمینه امتیازات حفاری نفت) </w:t>
      </w:r>
      <w:r>
        <w:rPr>
          <w:rFonts w:hint="cs"/>
          <w:rtl/>
          <w:lang w:bidi="fa-IR"/>
        </w:rPr>
        <w:t>و نه هر</w:t>
      </w:r>
      <w:r w:rsidRPr="00252FAA">
        <w:rPr>
          <w:rFonts w:hint="cs"/>
          <w:rtl/>
          <w:lang w:bidi="fa-IR"/>
        </w:rPr>
        <w:t xml:space="preserve"> نظام حقوقی ملی</w:t>
      </w:r>
      <w:r>
        <w:rPr>
          <w:rFonts w:hint="cs"/>
          <w:rtl/>
          <w:lang w:bidi="fa-IR"/>
        </w:rPr>
        <w:t xml:space="preserve">، باشد را </w:t>
      </w:r>
      <w:r w:rsidRPr="00252FAA">
        <w:rPr>
          <w:rFonts w:hint="cs"/>
          <w:rtl/>
          <w:lang w:bidi="fa-IR"/>
        </w:rPr>
        <w:t>رد کرد.</w:t>
      </w:r>
      <w:r w:rsidRPr="00252FAA">
        <w:rPr>
          <w:rStyle w:val="FootnoteReference"/>
          <w:rtl/>
          <w:lang w:bidi="fa-IR"/>
        </w:rPr>
        <w:footnoteReference w:id="265"/>
      </w:r>
      <w:r w:rsidRPr="00252FAA">
        <w:rPr>
          <w:rFonts w:hint="cs"/>
          <w:rtl/>
          <w:lang w:bidi="fa-IR"/>
        </w:rPr>
        <w:t xml:space="preserve"> </w:t>
      </w:r>
    </w:p>
    <w:p w:rsidR="003602AD" w:rsidRPr="00252FAA" w:rsidRDefault="003602AD" w:rsidP="004C2DA3">
      <w:pPr>
        <w:bidi/>
        <w:ind w:firstLine="360"/>
        <w:jc w:val="mediumKashida"/>
        <w:rPr>
          <w:rtl/>
          <w:lang w:bidi="fa-IR"/>
        </w:rPr>
      </w:pPr>
      <w:r w:rsidRPr="00252FAA">
        <w:rPr>
          <w:rFonts w:hint="cs"/>
          <w:rtl/>
          <w:lang w:bidi="fa-IR"/>
        </w:rPr>
        <w:t>در ایالات متحده آمریکا بی‌اعتنایی آشکار نسبت به قانون یک مانع برای اجرا به موجب قانون داوری فدرال است. اما دادگاه‌های فدرال مقرر داشته‌اند که این مورد یک مانع معتبر برای عملیات اجرایی به موجب کنوانسیون نیویورک نیست و معیار بی‌اعتنایی آشکار در میان دامنه ماده(</w:t>
      </w:r>
      <w:r>
        <w:rPr>
          <w:rFonts w:hint="cs"/>
          <w:rtl/>
          <w:lang w:bidi="fa-IR"/>
        </w:rPr>
        <w:t>ب</w:t>
      </w:r>
      <w:r w:rsidRPr="00252FAA">
        <w:rPr>
          <w:rFonts w:hint="cs"/>
          <w:rtl/>
          <w:lang w:bidi="fa-IR"/>
        </w:rPr>
        <w:t>)(2)5 قرار نمی‌گیرد.</w:t>
      </w:r>
      <w:r w:rsidRPr="00252FAA">
        <w:rPr>
          <w:rStyle w:val="FootnoteReference"/>
          <w:rtl/>
          <w:lang w:bidi="fa-IR"/>
        </w:rPr>
        <w:footnoteReference w:id="266"/>
      </w:r>
    </w:p>
    <w:p w:rsidR="003602AD" w:rsidRPr="00252FAA" w:rsidRDefault="003602AD" w:rsidP="004C2DA3">
      <w:pPr>
        <w:bidi/>
        <w:ind w:firstLine="360"/>
        <w:jc w:val="mediumKashida"/>
        <w:rPr>
          <w:rtl/>
          <w:lang w:bidi="fa-IR"/>
        </w:rPr>
      </w:pPr>
      <w:r w:rsidRPr="00252FAA">
        <w:rPr>
          <w:rFonts w:hint="cs"/>
          <w:rtl/>
          <w:lang w:bidi="fa-IR"/>
        </w:rPr>
        <w:lastRenderedPageBreak/>
        <w:t>اصطلاح بی‌اعتنایی د</w:t>
      </w:r>
      <w:r>
        <w:rPr>
          <w:rFonts w:hint="cs"/>
          <w:rtl/>
          <w:lang w:bidi="fa-IR"/>
        </w:rPr>
        <w:t>لالت بر این دارد که داور وجود قانون</w:t>
      </w:r>
      <w:r w:rsidRPr="00252FAA">
        <w:rPr>
          <w:rFonts w:hint="cs"/>
          <w:rtl/>
          <w:lang w:bidi="fa-IR"/>
        </w:rPr>
        <w:t xml:space="preserve"> حاکم را به روشنی درک می‌کند اما تصمیم می‌گیرد که به آن هیچ اعتنا یا توجهی نکند.</w:t>
      </w:r>
    </w:p>
    <w:p w:rsidR="003602AD" w:rsidRDefault="003602AD" w:rsidP="004C2DA3">
      <w:pPr>
        <w:bidi/>
        <w:ind w:firstLine="360"/>
        <w:jc w:val="mediumKashida"/>
        <w:rPr>
          <w:lang w:bidi="fa-IR"/>
        </w:rPr>
      </w:pPr>
    </w:p>
    <w:p w:rsidR="003602AD" w:rsidRDefault="003602AD" w:rsidP="00C34789">
      <w:pPr>
        <w:pStyle w:val="Heading4"/>
        <w:rPr>
          <w:rtl/>
        </w:rPr>
      </w:pPr>
      <w:r w:rsidRPr="00A3639F">
        <w:rPr>
          <w:rFonts w:hint="cs"/>
          <w:rtl/>
        </w:rPr>
        <w:t>3-3-6) بی‌اعتنایی آشکار به حقایق</w:t>
      </w:r>
    </w:p>
    <w:p w:rsidR="00FB673E" w:rsidRPr="00FB673E" w:rsidRDefault="00FB673E" w:rsidP="004C2DA3">
      <w:pPr>
        <w:bidi/>
        <w:ind w:firstLine="360"/>
        <w:rPr>
          <w:rtl/>
          <w:lang w:bidi="fa-IR"/>
        </w:rPr>
      </w:pPr>
    </w:p>
    <w:p w:rsidR="003602AD" w:rsidRPr="00252FAA" w:rsidRDefault="003602AD" w:rsidP="004C2DA3">
      <w:pPr>
        <w:bidi/>
        <w:ind w:firstLine="360"/>
        <w:jc w:val="mediumKashida"/>
        <w:rPr>
          <w:rtl/>
          <w:lang w:bidi="fa-IR"/>
        </w:rPr>
      </w:pPr>
      <w:r>
        <w:rPr>
          <w:rFonts w:hint="cs"/>
          <w:rtl/>
          <w:lang w:bidi="fa-IR"/>
        </w:rPr>
        <w:t>همچنین ممکن است</w:t>
      </w:r>
      <w:r w:rsidRPr="00252FAA">
        <w:rPr>
          <w:rFonts w:hint="cs"/>
          <w:rtl/>
          <w:lang w:bidi="fa-IR"/>
        </w:rPr>
        <w:t xml:space="preserve"> رأی</w:t>
      </w:r>
      <w:r>
        <w:rPr>
          <w:rFonts w:hint="cs"/>
          <w:rtl/>
          <w:lang w:bidi="fa-IR"/>
        </w:rPr>
        <w:t xml:space="preserve"> داوری</w:t>
      </w:r>
      <w:r w:rsidRPr="00252FAA">
        <w:rPr>
          <w:rFonts w:hint="cs"/>
          <w:rtl/>
          <w:lang w:bidi="fa-IR"/>
        </w:rPr>
        <w:t xml:space="preserve"> در تضاد با حقایق یا اساساً منحرف یا نامعقول باشد. به طور کلی چنین انحرافی زمینه کافی برای امتناع از اجرا</w:t>
      </w:r>
      <w:r>
        <w:rPr>
          <w:rFonts w:hint="cs"/>
          <w:rtl/>
          <w:lang w:bidi="fa-IR"/>
        </w:rPr>
        <w:t>ی رأی</w:t>
      </w:r>
      <w:r w:rsidRPr="00252FAA">
        <w:rPr>
          <w:rFonts w:hint="cs"/>
          <w:rtl/>
          <w:lang w:bidi="fa-IR"/>
        </w:rPr>
        <w:t xml:space="preserve"> بر طبق نظم عمومی یا غیر آن </w:t>
      </w:r>
      <w:r>
        <w:rPr>
          <w:rFonts w:hint="cs"/>
          <w:rtl/>
          <w:lang w:bidi="fa-IR"/>
        </w:rPr>
        <w:t>را فراهم نمی‌آورد</w:t>
      </w:r>
      <w:r w:rsidRPr="00252FAA">
        <w:rPr>
          <w:rFonts w:hint="cs"/>
          <w:rtl/>
          <w:lang w:bidi="fa-IR"/>
        </w:rPr>
        <w:t>.</w:t>
      </w:r>
    </w:p>
    <w:p w:rsidR="003602AD" w:rsidRPr="00252FAA" w:rsidRDefault="003602AD" w:rsidP="004C2DA3">
      <w:pPr>
        <w:bidi/>
        <w:ind w:firstLine="360"/>
        <w:jc w:val="mediumKashida"/>
        <w:rPr>
          <w:rtl/>
          <w:lang w:bidi="fa-IR"/>
        </w:rPr>
      </w:pPr>
      <w:r w:rsidRPr="00252FAA">
        <w:rPr>
          <w:rFonts w:hint="cs"/>
          <w:rtl/>
          <w:lang w:bidi="fa-IR"/>
        </w:rPr>
        <w:t>تصمیم دادگاه عالی زیمبابوه در سال 1999 یک استثناء</w:t>
      </w:r>
      <w:r>
        <w:rPr>
          <w:rFonts w:hint="cs"/>
          <w:rtl/>
          <w:lang w:bidi="fa-IR"/>
        </w:rPr>
        <w:t xml:space="preserve"> در این زمینه</w:t>
      </w:r>
      <w:r w:rsidRPr="00252FAA">
        <w:rPr>
          <w:rFonts w:hint="cs"/>
          <w:rtl/>
          <w:lang w:bidi="fa-IR"/>
        </w:rPr>
        <w:t xml:space="preserve"> است.پس از بررسی مانع نظم عمومی نسبت به اجرای رأی در کنوانسیون نیویورک و قانون نمونه آنسیترال، دادگاه مقرر داشت: </w:t>
      </w:r>
    </w:p>
    <w:p w:rsidR="003602AD" w:rsidRPr="008713A7" w:rsidRDefault="003602AD" w:rsidP="004C2DA3">
      <w:pPr>
        <w:bidi/>
        <w:ind w:firstLine="360"/>
        <w:jc w:val="mediumKashida"/>
        <w:rPr>
          <w:sz w:val="32"/>
          <w:szCs w:val="32"/>
          <w:rtl/>
          <w:lang w:bidi="fa-IR"/>
        </w:rPr>
      </w:pPr>
      <w:r w:rsidRPr="00E46607">
        <w:rPr>
          <w:rFonts w:hint="cs"/>
          <w:sz w:val="24"/>
          <w:szCs w:val="24"/>
          <w:rtl/>
          <w:lang w:bidi="fa-IR"/>
        </w:rPr>
        <w:t>"</w:t>
      </w:r>
      <w:r>
        <w:rPr>
          <w:rFonts w:hint="cs"/>
          <w:sz w:val="24"/>
          <w:szCs w:val="24"/>
          <w:rtl/>
          <w:lang w:bidi="fa-IR"/>
        </w:rPr>
        <w:t>به موجب ماده 34 یا 36 (</w:t>
      </w:r>
      <w:r w:rsidRPr="00E46607">
        <w:rPr>
          <w:rFonts w:hint="cs"/>
          <w:sz w:val="24"/>
          <w:szCs w:val="24"/>
          <w:rtl/>
          <w:lang w:bidi="fa-IR"/>
        </w:rPr>
        <w:t>قانون نمونه</w:t>
      </w:r>
      <w:r>
        <w:rPr>
          <w:rFonts w:hint="cs"/>
          <w:sz w:val="24"/>
          <w:szCs w:val="24"/>
          <w:rtl/>
          <w:lang w:bidi="fa-IR"/>
        </w:rPr>
        <w:t xml:space="preserve"> آنسیترال</w:t>
      </w:r>
      <w:r w:rsidRPr="00E46607">
        <w:rPr>
          <w:rFonts w:hint="cs"/>
          <w:sz w:val="24"/>
          <w:szCs w:val="24"/>
          <w:rtl/>
          <w:lang w:bidi="fa-IR"/>
        </w:rPr>
        <w:t xml:space="preserve">) دادگاه اختیار تجدید نظر خواهی یا حمایت </w:t>
      </w:r>
      <w:r>
        <w:rPr>
          <w:rFonts w:hint="cs"/>
          <w:sz w:val="24"/>
          <w:szCs w:val="24"/>
          <w:rtl/>
          <w:lang w:bidi="fa-IR"/>
        </w:rPr>
        <w:t xml:space="preserve">یا </w:t>
      </w:r>
      <w:r w:rsidRPr="00E46607">
        <w:rPr>
          <w:rFonts w:hint="cs"/>
          <w:sz w:val="24"/>
          <w:szCs w:val="24"/>
          <w:rtl/>
          <w:lang w:bidi="fa-IR"/>
        </w:rPr>
        <w:t>رد شناسایی و اجرای یک رأی را با مد نظر قرار دادن آن‌چه باید در اتخاذ یک تصمیم صحیح در نظر گرفته شود</w:t>
      </w:r>
      <w:r>
        <w:rPr>
          <w:rFonts w:hint="cs"/>
          <w:sz w:val="24"/>
          <w:szCs w:val="24"/>
          <w:rtl/>
          <w:lang w:bidi="fa-IR"/>
        </w:rPr>
        <w:t>، دارا می‌باشد</w:t>
      </w:r>
      <w:r w:rsidRPr="00E46607">
        <w:rPr>
          <w:rFonts w:hint="cs"/>
          <w:sz w:val="24"/>
          <w:szCs w:val="24"/>
          <w:rtl/>
          <w:lang w:bidi="fa-IR"/>
        </w:rPr>
        <w:t>.</w:t>
      </w:r>
      <w:r>
        <w:rPr>
          <w:rFonts w:hint="cs"/>
          <w:sz w:val="24"/>
          <w:szCs w:val="24"/>
          <w:rtl/>
          <w:lang w:bidi="fa-IR"/>
        </w:rPr>
        <w:t xml:space="preserve"> بررسی در جهت ممانعت از اجرای</w:t>
      </w:r>
      <w:r w:rsidRPr="00E46607">
        <w:rPr>
          <w:rFonts w:hint="cs"/>
          <w:sz w:val="24"/>
          <w:szCs w:val="24"/>
          <w:rtl/>
          <w:lang w:bidi="fa-IR"/>
        </w:rPr>
        <w:t xml:space="preserve"> یک رأی از</w:t>
      </w:r>
      <w:r>
        <w:rPr>
          <w:rFonts w:hint="cs"/>
          <w:sz w:val="24"/>
          <w:szCs w:val="24"/>
          <w:rtl/>
          <w:lang w:bidi="fa-IR"/>
        </w:rPr>
        <w:t xml:space="preserve"> مسئله قصور</w:t>
      </w:r>
      <w:r w:rsidRPr="00E46607">
        <w:rPr>
          <w:rFonts w:hint="cs"/>
          <w:sz w:val="24"/>
          <w:szCs w:val="24"/>
          <w:rtl/>
          <w:lang w:bidi="fa-IR"/>
        </w:rPr>
        <w:t xml:space="preserve"> یا نادرستی صرف فراتر می‌رود</w:t>
      </w:r>
      <w:r>
        <w:rPr>
          <w:rFonts w:hint="cs"/>
          <w:sz w:val="24"/>
          <w:szCs w:val="24"/>
          <w:rtl/>
          <w:lang w:bidi="fa-IR"/>
        </w:rPr>
        <w:t>، الزاماً نقض، بایستی</w:t>
      </w:r>
      <w:r w:rsidRPr="00E46607">
        <w:rPr>
          <w:rFonts w:hint="cs"/>
          <w:sz w:val="24"/>
          <w:szCs w:val="24"/>
          <w:rtl/>
          <w:lang w:bidi="fa-IR"/>
        </w:rPr>
        <w:t xml:space="preserve"> ب</w:t>
      </w:r>
      <w:r>
        <w:rPr>
          <w:rFonts w:hint="cs"/>
          <w:sz w:val="24"/>
          <w:szCs w:val="24"/>
          <w:rtl/>
          <w:lang w:bidi="fa-IR"/>
        </w:rPr>
        <w:t>ه منزله</w:t>
      </w:r>
      <w:r w:rsidRPr="00E46607">
        <w:rPr>
          <w:rFonts w:hint="cs"/>
          <w:sz w:val="24"/>
          <w:szCs w:val="24"/>
          <w:rtl/>
          <w:lang w:bidi="fa-IR"/>
        </w:rPr>
        <w:t xml:space="preserve"> بی‌عدالتی آشکار</w:t>
      </w:r>
      <w:r>
        <w:rPr>
          <w:rFonts w:hint="cs"/>
          <w:sz w:val="24"/>
          <w:szCs w:val="24"/>
          <w:rtl/>
          <w:lang w:bidi="fa-IR"/>
        </w:rPr>
        <w:t xml:space="preserve"> نسبت به</w:t>
      </w:r>
      <w:r w:rsidRPr="00E46607">
        <w:rPr>
          <w:rFonts w:hint="cs"/>
          <w:sz w:val="24"/>
          <w:szCs w:val="24"/>
          <w:rtl/>
          <w:lang w:bidi="fa-IR"/>
        </w:rPr>
        <w:t xml:space="preserve"> </w:t>
      </w:r>
      <w:r>
        <w:rPr>
          <w:rFonts w:hint="cs"/>
          <w:sz w:val="24"/>
          <w:szCs w:val="24"/>
          <w:rtl/>
          <w:lang w:bidi="fa-IR"/>
        </w:rPr>
        <w:t xml:space="preserve">معیارهای اخلاقی پذیرفته شده‌ی معقول و منصفانه </w:t>
      </w:r>
      <w:r w:rsidRPr="00E46607">
        <w:rPr>
          <w:rFonts w:hint="cs"/>
          <w:sz w:val="24"/>
          <w:szCs w:val="24"/>
          <w:rtl/>
          <w:lang w:bidi="fa-IR"/>
        </w:rPr>
        <w:t xml:space="preserve"> و مفهوم عدالت در زیمبابوه</w:t>
      </w:r>
      <w:r>
        <w:rPr>
          <w:rFonts w:hint="cs"/>
          <w:sz w:val="24"/>
          <w:szCs w:val="24"/>
          <w:rtl/>
          <w:lang w:bidi="fa-IR"/>
        </w:rPr>
        <w:t xml:space="preserve"> صورت گرفته باشد، تا درتعارض با نظم عمومی قرار بگیرد</w:t>
      </w:r>
      <w:r w:rsidRPr="00E46607">
        <w:rPr>
          <w:rFonts w:hint="cs"/>
          <w:sz w:val="24"/>
          <w:szCs w:val="24"/>
          <w:rtl/>
          <w:lang w:bidi="fa-IR"/>
        </w:rPr>
        <w:t>. در جایی که داور ذهنیت خود را نسبت به مسئله اعمال یا اساساً موضوع را اشتباه متوجه شود نتیجه</w:t>
      </w:r>
      <w:r w:rsidRPr="00E46607">
        <w:rPr>
          <w:sz w:val="24"/>
          <w:szCs w:val="24"/>
          <w:rtl/>
          <w:lang w:bidi="fa-IR"/>
        </w:rPr>
        <w:t xml:space="preserve"> </w:t>
      </w:r>
      <w:r w:rsidRPr="00E46607">
        <w:rPr>
          <w:rFonts w:hint="cs"/>
          <w:sz w:val="24"/>
          <w:szCs w:val="24"/>
          <w:rtl/>
          <w:lang w:bidi="fa-IR"/>
        </w:rPr>
        <w:t>یکسانی</w:t>
      </w:r>
      <w:r w:rsidRPr="00E46607">
        <w:rPr>
          <w:sz w:val="24"/>
          <w:szCs w:val="24"/>
          <w:rtl/>
          <w:lang w:bidi="fa-IR"/>
        </w:rPr>
        <w:t xml:space="preserve"> </w:t>
      </w:r>
      <w:r w:rsidRPr="00E46607">
        <w:rPr>
          <w:rFonts w:hint="cs"/>
          <w:sz w:val="24"/>
          <w:szCs w:val="24"/>
          <w:rtl/>
          <w:lang w:bidi="fa-IR"/>
        </w:rPr>
        <w:t>حاصل</w:t>
      </w:r>
      <w:r w:rsidRPr="00E46607">
        <w:rPr>
          <w:sz w:val="24"/>
          <w:szCs w:val="24"/>
          <w:rtl/>
          <w:lang w:bidi="fa-IR"/>
        </w:rPr>
        <w:t xml:space="preserve"> </w:t>
      </w:r>
      <w:r w:rsidRPr="00E46607">
        <w:rPr>
          <w:rFonts w:hint="cs"/>
          <w:sz w:val="24"/>
          <w:szCs w:val="24"/>
          <w:rtl/>
          <w:lang w:bidi="fa-IR"/>
        </w:rPr>
        <w:t>می‌گردد</w:t>
      </w:r>
      <w:r w:rsidRPr="00E46607">
        <w:rPr>
          <w:sz w:val="24"/>
          <w:szCs w:val="24"/>
          <w:rtl/>
          <w:lang w:bidi="fa-IR"/>
        </w:rPr>
        <w:t xml:space="preserve"> </w:t>
      </w:r>
      <w:r w:rsidRPr="00E46607">
        <w:rPr>
          <w:rFonts w:hint="cs"/>
          <w:sz w:val="24"/>
          <w:szCs w:val="24"/>
          <w:rtl/>
          <w:lang w:bidi="fa-IR"/>
        </w:rPr>
        <w:t>و منجر به بی عدالتی می‌شود."</w:t>
      </w:r>
      <w:r w:rsidRPr="00E46607">
        <w:rPr>
          <w:rStyle w:val="FootnoteReference"/>
          <w:rtl/>
          <w:lang w:bidi="fa-IR"/>
        </w:rPr>
        <w:footnoteReference w:id="267"/>
      </w:r>
    </w:p>
    <w:p w:rsidR="003602AD" w:rsidRDefault="003602AD" w:rsidP="004C2DA3">
      <w:pPr>
        <w:bidi/>
        <w:ind w:firstLine="360"/>
        <w:jc w:val="mediumKashida"/>
        <w:rPr>
          <w:b/>
          <w:bCs/>
          <w:sz w:val="40"/>
          <w:szCs w:val="40"/>
          <w:rtl/>
          <w:lang w:bidi="fa-IR"/>
        </w:rPr>
      </w:pPr>
    </w:p>
    <w:p w:rsidR="003602AD" w:rsidRDefault="003602AD" w:rsidP="00C34789">
      <w:pPr>
        <w:pStyle w:val="Heading4"/>
        <w:rPr>
          <w:rtl/>
        </w:rPr>
      </w:pPr>
      <w:r w:rsidRPr="00A3639F">
        <w:rPr>
          <w:rFonts w:hint="cs"/>
          <w:rtl/>
        </w:rPr>
        <w:t>3-3-7) اعتبار امر مختومه</w:t>
      </w:r>
    </w:p>
    <w:p w:rsidR="00FB673E" w:rsidRPr="00FB673E" w:rsidRDefault="00FB673E" w:rsidP="004C2DA3">
      <w:pPr>
        <w:bidi/>
        <w:ind w:firstLine="360"/>
        <w:rPr>
          <w:rtl/>
          <w:lang w:bidi="fa-IR"/>
        </w:rPr>
      </w:pPr>
    </w:p>
    <w:p w:rsidR="003602AD" w:rsidRPr="00401C8A" w:rsidRDefault="003602AD" w:rsidP="004C2DA3">
      <w:pPr>
        <w:bidi/>
        <w:ind w:firstLine="360"/>
        <w:jc w:val="mediumKashida"/>
        <w:rPr>
          <w:rtl/>
          <w:lang w:bidi="fa-IR"/>
        </w:rPr>
      </w:pPr>
      <w:r>
        <w:rPr>
          <w:rFonts w:hint="cs"/>
          <w:rtl/>
          <w:lang w:bidi="fa-IR"/>
        </w:rPr>
        <w:t>اصولاً اجرای رأیی که مخالف و ناسازگار با یک حکم پیشین دادگاه محل اجرا در موضوعی یکسان با موضوع رأی داوری باشد، مغایر نظم عمومی خواهد بود. این مورد صریحاً در قوانین برخی از کشورها ،از جمله مصر مورد اشاره قرار گرفته است.</w:t>
      </w:r>
      <w:r>
        <w:rPr>
          <w:rStyle w:val="FootnoteReference"/>
          <w:rtl/>
          <w:lang w:bidi="fa-IR"/>
        </w:rPr>
        <w:footnoteReference w:id="268"/>
      </w:r>
      <w:r>
        <w:rPr>
          <w:rFonts w:hint="cs"/>
          <w:rtl/>
          <w:lang w:bidi="fa-IR"/>
        </w:rPr>
        <w:t xml:space="preserve"> دادگاه‌های انگلیس نیز مقرر کرده‌اند که اصل اعتبار امر مختومه یک قاعده از نظم عمومی است.</w:t>
      </w:r>
      <w:r>
        <w:rPr>
          <w:rStyle w:val="FootnoteReference"/>
          <w:rtl/>
          <w:lang w:bidi="fa-IR"/>
        </w:rPr>
        <w:footnoteReference w:id="269"/>
      </w:r>
      <w:r>
        <w:rPr>
          <w:rFonts w:hint="cs"/>
          <w:rtl/>
          <w:lang w:bidi="fa-IR"/>
        </w:rPr>
        <w:t xml:space="preserve"> </w:t>
      </w:r>
    </w:p>
    <w:p w:rsidR="003602AD" w:rsidRDefault="003602AD" w:rsidP="004C2DA3">
      <w:pPr>
        <w:bidi/>
        <w:ind w:firstLine="360"/>
        <w:jc w:val="mediumKashida"/>
        <w:rPr>
          <w:b/>
          <w:bCs/>
          <w:sz w:val="40"/>
          <w:szCs w:val="40"/>
          <w:rtl/>
          <w:lang w:bidi="fa-IR"/>
        </w:rPr>
      </w:pPr>
    </w:p>
    <w:p w:rsidR="003602AD" w:rsidRDefault="003602AD" w:rsidP="00C34789">
      <w:pPr>
        <w:pStyle w:val="Heading4"/>
        <w:rPr>
          <w:rtl/>
        </w:rPr>
      </w:pPr>
      <w:r>
        <w:rPr>
          <w:rFonts w:hint="cs"/>
          <w:rtl/>
        </w:rPr>
        <w:t>3-3-8</w:t>
      </w:r>
      <w:r w:rsidRPr="00A3639F">
        <w:rPr>
          <w:rFonts w:hint="cs"/>
          <w:rtl/>
        </w:rPr>
        <w:t>) ابطال در محل داوری</w:t>
      </w:r>
    </w:p>
    <w:p w:rsidR="00FB673E" w:rsidRPr="00FB673E" w:rsidRDefault="00FB673E" w:rsidP="004C2DA3">
      <w:pPr>
        <w:bidi/>
        <w:ind w:firstLine="360"/>
        <w:rPr>
          <w:lang w:bidi="fa-IR"/>
        </w:rPr>
      </w:pPr>
    </w:p>
    <w:p w:rsidR="003602AD" w:rsidRPr="00E46607" w:rsidRDefault="003602AD" w:rsidP="004C2DA3">
      <w:pPr>
        <w:bidi/>
        <w:ind w:firstLine="360"/>
        <w:jc w:val="mediumKashida"/>
        <w:rPr>
          <w:rtl/>
          <w:lang w:bidi="fa-IR"/>
        </w:rPr>
      </w:pPr>
      <w:r w:rsidRPr="00E46607">
        <w:rPr>
          <w:rFonts w:hint="cs"/>
          <w:rtl/>
          <w:lang w:bidi="fa-IR"/>
        </w:rPr>
        <w:t>ماده (ه)(1)5 از کنوانسیون نیویورک مقر</w:t>
      </w:r>
      <w:r>
        <w:rPr>
          <w:rFonts w:hint="cs"/>
          <w:rtl/>
          <w:lang w:bidi="fa-IR"/>
        </w:rPr>
        <w:t>ر می‌دارد :در صورتی که</w:t>
      </w:r>
      <w:r w:rsidRPr="00E46607">
        <w:rPr>
          <w:rFonts w:hint="cs"/>
          <w:rtl/>
          <w:lang w:bidi="fa-IR"/>
        </w:rPr>
        <w:t xml:space="preserve"> رأی در محل داوری الغاء شده با</w:t>
      </w:r>
      <w:r>
        <w:rPr>
          <w:rFonts w:hint="cs"/>
          <w:rtl/>
          <w:lang w:bidi="fa-IR"/>
        </w:rPr>
        <w:t>د</w:t>
      </w:r>
      <w:r w:rsidRPr="00E46607">
        <w:rPr>
          <w:rFonts w:hint="cs"/>
          <w:rtl/>
          <w:lang w:bidi="fa-IR"/>
        </w:rPr>
        <w:t>شد</w:t>
      </w:r>
      <w:r>
        <w:rPr>
          <w:rFonts w:hint="cs"/>
          <w:rtl/>
          <w:lang w:bidi="fa-IR"/>
        </w:rPr>
        <w:t>، می‌توان از اجرای آن ممانعت کرد</w:t>
      </w:r>
      <w:r w:rsidRPr="00E46607">
        <w:rPr>
          <w:rFonts w:hint="cs"/>
          <w:rtl/>
          <w:lang w:bidi="fa-IR"/>
        </w:rPr>
        <w:t>. دادگاه استیناف پاریس در پرونده‌ای ابراز داشت که</w:t>
      </w:r>
      <w:r>
        <w:rPr>
          <w:rFonts w:hint="cs"/>
          <w:rtl/>
          <w:lang w:bidi="fa-IR"/>
        </w:rPr>
        <w:t xml:space="preserve"> در فرانسه</w:t>
      </w:r>
      <w:r w:rsidRPr="00E46607">
        <w:rPr>
          <w:rFonts w:hint="cs"/>
          <w:rtl/>
          <w:lang w:bidi="fa-IR"/>
        </w:rPr>
        <w:t xml:space="preserve"> شناسایی رأیی که توسط دادگاه‌های محل داوری ابطال شده باشد</w:t>
      </w:r>
      <w:r>
        <w:rPr>
          <w:rFonts w:hint="cs"/>
          <w:rtl/>
          <w:lang w:bidi="fa-IR"/>
        </w:rPr>
        <w:t>،</w:t>
      </w:r>
      <w:r w:rsidRPr="00E46607">
        <w:rPr>
          <w:rFonts w:hint="cs"/>
          <w:rtl/>
          <w:lang w:bidi="fa-IR"/>
        </w:rPr>
        <w:t xml:space="preserve"> نظم عمومی بین‌المللی (فرانسه) را نقض نخواهد کرد.</w:t>
      </w:r>
      <w:r w:rsidRPr="009C5801">
        <w:rPr>
          <w:vertAlign w:val="superscript"/>
          <w:rtl/>
          <w:lang w:bidi="fa-IR"/>
        </w:rPr>
        <w:footnoteReference w:id="270"/>
      </w:r>
    </w:p>
    <w:p w:rsidR="003602AD" w:rsidRDefault="003602AD" w:rsidP="004C2DA3">
      <w:pPr>
        <w:bidi/>
        <w:ind w:firstLine="360"/>
        <w:jc w:val="mediumKashida"/>
        <w:rPr>
          <w:b/>
          <w:bCs/>
          <w:sz w:val="40"/>
          <w:szCs w:val="40"/>
          <w:lang w:bidi="fa-IR"/>
        </w:rPr>
      </w:pPr>
    </w:p>
    <w:p w:rsidR="003602AD" w:rsidRDefault="003602AD" w:rsidP="00C34789">
      <w:pPr>
        <w:pStyle w:val="Heading4"/>
        <w:rPr>
          <w:rtl/>
        </w:rPr>
      </w:pPr>
      <w:r w:rsidRPr="00A3639F">
        <w:rPr>
          <w:rFonts w:hint="cs"/>
          <w:rtl/>
        </w:rPr>
        <w:lastRenderedPageBreak/>
        <w:t>3-3-9) دیگر مقوله‌ها</w:t>
      </w:r>
    </w:p>
    <w:p w:rsidR="009B6E7F" w:rsidRPr="009B6E7F" w:rsidRDefault="009B6E7F" w:rsidP="004C2DA3">
      <w:pPr>
        <w:bidi/>
        <w:ind w:firstLine="360"/>
        <w:rPr>
          <w:rtl/>
          <w:lang w:bidi="fa-IR"/>
        </w:rPr>
      </w:pPr>
    </w:p>
    <w:p w:rsidR="003602AD" w:rsidRDefault="003602AD" w:rsidP="004C2DA3">
      <w:pPr>
        <w:bidi/>
        <w:ind w:firstLine="360"/>
        <w:jc w:val="mediumKashida"/>
        <w:rPr>
          <w:lang w:bidi="fa-IR"/>
        </w:rPr>
      </w:pPr>
      <w:r>
        <w:rPr>
          <w:rFonts w:hint="cs"/>
          <w:rtl/>
          <w:lang w:bidi="fa-IR"/>
        </w:rPr>
        <w:t xml:space="preserve">از جمله دیگر </w:t>
      </w:r>
      <w:r w:rsidRPr="00252FAA">
        <w:rPr>
          <w:rFonts w:hint="cs"/>
          <w:rtl/>
          <w:lang w:bidi="fa-IR"/>
        </w:rPr>
        <w:t>اصول نظم عمومی بین‌المللی شکلی فرانسه</w:t>
      </w:r>
      <w:r>
        <w:rPr>
          <w:rFonts w:hint="cs"/>
          <w:rtl/>
          <w:lang w:bidi="fa-IR"/>
        </w:rPr>
        <w:t>،</w:t>
      </w:r>
      <w:r w:rsidRPr="00252FAA">
        <w:rPr>
          <w:rFonts w:hint="cs"/>
          <w:rtl/>
          <w:lang w:bidi="fa-IR"/>
        </w:rPr>
        <w:t xml:space="preserve"> که مورد شناسایی و احراز قرار گرفته</w:t>
      </w:r>
      <w:r>
        <w:rPr>
          <w:rFonts w:hint="cs"/>
          <w:rtl/>
          <w:lang w:bidi="fa-IR"/>
        </w:rPr>
        <w:t>، می‌توان از؛</w:t>
      </w:r>
      <w:r w:rsidRPr="00252FAA">
        <w:rPr>
          <w:rFonts w:hint="cs"/>
          <w:rtl/>
          <w:lang w:bidi="fa-IR"/>
        </w:rPr>
        <w:t xml:space="preserve"> </w:t>
      </w:r>
      <w:r>
        <w:rPr>
          <w:rFonts w:hint="cs"/>
          <w:rtl/>
          <w:lang w:bidi="fa-IR"/>
        </w:rPr>
        <w:t>قاعده اثبات حقیقت ادعا توسط مدعی و این قاعده ‌که</w:t>
      </w:r>
      <w:r w:rsidRPr="00252FAA">
        <w:rPr>
          <w:rFonts w:hint="cs"/>
          <w:rtl/>
          <w:lang w:bidi="fa-IR"/>
        </w:rPr>
        <w:t xml:space="preserve"> هیچ کس نباید ادعایی توسط وکالتنامه اقامه کند</w:t>
      </w:r>
      <w:r>
        <w:rPr>
          <w:rFonts w:hint="cs"/>
          <w:rtl/>
          <w:lang w:bidi="fa-IR"/>
        </w:rPr>
        <w:t xml:space="preserve">، نام برد. از سوی دیگر این قاعده که </w:t>
      </w:r>
      <w:r w:rsidRPr="00181057">
        <w:rPr>
          <w:rFonts w:hint="cs"/>
          <w:rtl/>
          <w:lang w:bidi="fa-IR"/>
        </w:rPr>
        <w:t>دادرسی‌های حقوقی معلق گذارده می‌شود تا زمانی که دادرسی‌های جزایی مربوطه به نتیجه برسد</w:t>
      </w:r>
      <w:r>
        <w:rPr>
          <w:rFonts w:hint="cs"/>
          <w:rtl/>
          <w:lang w:bidi="fa-IR"/>
        </w:rPr>
        <w:t>، در زمره</w:t>
      </w:r>
      <w:r w:rsidRPr="00252FAA">
        <w:rPr>
          <w:rFonts w:hint="cs"/>
          <w:rtl/>
          <w:lang w:bidi="fa-IR"/>
        </w:rPr>
        <w:t xml:space="preserve"> موارد نظم عمومی بین‌المللی</w:t>
      </w:r>
      <w:r>
        <w:rPr>
          <w:rFonts w:hint="cs"/>
          <w:rtl/>
          <w:lang w:bidi="fa-IR"/>
        </w:rPr>
        <w:t xml:space="preserve"> شکلی فرانسه در نظر گرفته نشده‌است.</w:t>
      </w:r>
    </w:p>
    <w:p w:rsidR="003602AD" w:rsidRDefault="003602AD" w:rsidP="004C2DA3">
      <w:pPr>
        <w:bidi/>
        <w:ind w:firstLine="360"/>
        <w:jc w:val="mediumKashida"/>
        <w:rPr>
          <w:rtl/>
          <w:lang w:bidi="fa-IR"/>
        </w:rPr>
      </w:pPr>
    </w:p>
    <w:p w:rsidR="003602AD" w:rsidRDefault="003602AD" w:rsidP="004C2DA3">
      <w:pPr>
        <w:bidi/>
        <w:ind w:firstLine="360"/>
        <w:jc w:val="mediumKashida"/>
        <w:rPr>
          <w:rtl/>
          <w:lang w:bidi="fa-IR"/>
        </w:rPr>
      </w:pPr>
    </w:p>
    <w:p w:rsidR="009B6E7F" w:rsidRDefault="009B6E7F" w:rsidP="004C2DA3">
      <w:pPr>
        <w:bidi/>
        <w:ind w:firstLine="360"/>
        <w:jc w:val="mediumKashida"/>
        <w:rPr>
          <w:rtl/>
          <w:lang w:bidi="fa-IR"/>
        </w:rPr>
      </w:pPr>
    </w:p>
    <w:p w:rsidR="009B6E7F" w:rsidRDefault="009B6E7F" w:rsidP="006D6C2F">
      <w:pPr>
        <w:bidi/>
        <w:jc w:val="mediumKashida"/>
        <w:rPr>
          <w:lang w:bidi="fa-IR"/>
        </w:rPr>
      </w:pPr>
    </w:p>
    <w:p w:rsidR="006D6C2F" w:rsidRDefault="006D6C2F" w:rsidP="006D6C2F">
      <w:pPr>
        <w:bidi/>
        <w:jc w:val="mediumKashida"/>
        <w:rPr>
          <w:lang w:bidi="fa-IR"/>
        </w:rPr>
      </w:pPr>
    </w:p>
    <w:p w:rsidR="003602AD" w:rsidRDefault="003602AD" w:rsidP="004C2DA3">
      <w:pPr>
        <w:pStyle w:val="Heading2"/>
        <w:bidi/>
        <w:ind w:firstLine="360"/>
        <w:jc w:val="center"/>
        <w:rPr>
          <w:rtl/>
          <w:lang w:bidi="fa-IR"/>
        </w:rPr>
      </w:pPr>
      <w:bookmarkStart w:id="35" w:name="_Toc397212662"/>
      <w:r w:rsidRPr="00A3639F">
        <w:rPr>
          <w:rFonts w:hint="cs"/>
          <w:rtl/>
          <w:lang w:bidi="fa-IR"/>
        </w:rPr>
        <w:t>گفتار چهارم: نظم عمومی در اجرای احکام داوری در رویه قضایی آمریکا و انگلستان</w:t>
      </w:r>
      <w:bookmarkEnd w:id="35"/>
    </w:p>
    <w:p w:rsidR="00A96392" w:rsidRPr="00A96392" w:rsidRDefault="00A96392" w:rsidP="00A96392">
      <w:pPr>
        <w:bidi/>
        <w:rPr>
          <w:rtl/>
          <w:lang w:bidi="fa-IR"/>
        </w:rPr>
      </w:pPr>
    </w:p>
    <w:p w:rsidR="003602AD" w:rsidRPr="000267AA" w:rsidRDefault="004478F2" w:rsidP="000267AA">
      <w:pPr>
        <w:bidi/>
        <w:jc w:val="mediumKashida"/>
        <w:rPr>
          <w:rtl/>
          <w:lang w:bidi="fa-IR"/>
        </w:rPr>
      </w:pPr>
      <w:r>
        <w:rPr>
          <w:rFonts w:hint="cs"/>
          <w:rtl/>
          <w:lang w:bidi="fa-IR"/>
        </w:rPr>
        <w:t xml:space="preserve">در این گفتار به طور ویژه به بررسی چند پرونده مهم که در حوزه کشورهای آمریکا و انگلیس تقاضای اجرای آنها صورت گرفته، می‌پردازیم. انتخاب ابن دو کشور، بدین جهت است که </w:t>
      </w:r>
      <w:r w:rsidR="00A96392">
        <w:rPr>
          <w:rFonts w:hint="cs"/>
          <w:rtl/>
          <w:lang w:bidi="fa-IR"/>
        </w:rPr>
        <w:t xml:space="preserve">نظام حقوقی کامن‌لا که نمایندگان اصلی آن این دو کشور می‌باشند، در سال‌های اخیر تحرک و نوآوری‌های بیشتری در زمینه داوری داشته </w:t>
      </w:r>
      <w:r w:rsidR="00A96392">
        <w:rPr>
          <w:rFonts w:hint="cs"/>
          <w:rtl/>
          <w:lang w:bidi="fa-IR"/>
        </w:rPr>
        <w:lastRenderedPageBreak/>
        <w:t xml:space="preserve">است. </w:t>
      </w:r>
      <w:r w:rsidR="00ED00C5">
        <w:rPr>
          <w:rFonts w:hint="cs"/>
          <w:rtl/>
          <w:lang w:bidi="fa-IR"/>
        </w:rPr>
        <w:t xml:space="preserve">از آن‌جا که روند بخش دوم بر پایه بررسی موضوع در پرونده‌های مطروحه در مورد نظم عمومی در مرحله اجرای رأی </w:t>
      </w:r>
      <w:r w:rsidR="000267AA">
        <w:rPr>
          <w:rFonts w:hint="cs"/>
          <w:rtl/>
          <w:lang w:bidi="fa-IR"/>
        </w:rPr>
        <w:t>قرار گرفته، شرح ویژه این موضوع در نظام حقوقی دو کشور پیشرو در زمینه داوری مناسب فرض شد.</w:t>
      </w:r>
    </w:p>
    <w:p w:rsidR="003602AD" w:rsidRPr="00A66433" w:rsidRDefault="003602AD" w:rsidP="004C2DA3">
      <w:pPr>
        <w:bidi/>
        <w:ind w:firstLine="360"/>
        <w:jc w:val="mediumKashida"/>
        <w:rPr>
          <w:sz w:val="48"/>
          <w:szCs w:val="48"/>
          <w:rtl/>
          <w:lang w:bidi="fa-IR"/>
        </w:rPr>
      </w:pPr>
    </w:p>
    <w:p w:rsidR="003602AD" w:rsidRDefault="003602AD" w:rsidP="000A47F6">
      <w:pPr>
        <w:pStyle w:val="Heading3"/>
        <w:rPr>
          <w:rtl/>
        </w:rPr>
      </w:pPr>
      <w:bookmarkStart w:id="36" w:name="_Toc397212663"/>
      <w:r>
        <w:rPr>
          <w:rFonts w:hint="cs"/>
          <w:rtl/>
        </w:rPr>
        <w:t xml:space="preserve">4-1) </w:t>
      </w:r>
      <w:r w:rsidRPr="00A3639F">
        <w:rPr>
          <w:rFonts w:hint="cs"/>
          <w:rtl/>
        </w:rPr>
        <w:t>تمایل دادگاه‌های آمریکایی و انگلیسی به حمایت از اجرای رأی</w:t>
      </w:r>
      <w:bookmarkEnd w:id="36"/>
    </w:p>
    <w:p w:rsidR="000267AA" w:rsidRPr="000267AA" w:rsidRDefault="000267AA" w:rsidP="000267AA">
      <w:pPr>
        <w:rPr>
          <w:rtl/>
          <w:lang w:bidi="fa-IR"/>
        </w:rPr>
      </w:pPr>
    </w:p>
    <w:p w:rsidR="009B6E7F" w:rsidRPr="009B6E7F" w:rsidRDefault="009B6E7F" w:rsidP="004C2DA3">
      <w:pPr>
        <w:bidi/>
        <w:ind w:firstLine="360"/>
        <w:rPr>
          <w:rtl/>
          <w:lang w:bidi="fa-IR"/>
        </w:rPr>
      </w:pPr>
    </w:p>
    <w:p w:rsidR="00C60D35" w:rsidRDefault="003602AD" w:rsidP="000267AA">
      <w:pPr>
        <w:bidi/>
        <w:ind w:firstLine="360"/>
        <w:jc w:val="mediumKashida"/>
        <w:rPr>
          <w:rtl/>
          <w:lang w:bidi="fa-IR"/>
        </w:rPr>
      </w:pPr>
      <w:r w:rsidRPr="00EC7EC2">
        <w:rPr>
          <w:rFonts w:hint="cs"/>
          <w:rtl/>
          <w:lang w:bidi="fa-IR"/>
        </w:rPr>
        <w:t>در موارد بسیاری در ایالات متحده آمریکا،</w:t>
      </w:r>
      <w:r w:rsidRPr="00EF4831">
        <w:rPr>
          <w:rFonts w:hint="cs"/>
          <w:rtl/>
          <w:lang w:bidi="fa-IR"/>
        </w:rPr>
        <w:t xml:space="preserve"> علی‌رغم بحث‌های پیرامون نظم</w:t>
      </w:r>
      <w:r>
        <w:rPr>
          <w:rFonts w:hint="cs"/>
          <w:rtl/>
          <w:lang w:bidi="fa-IR"/>
        </w:rPr>
        <w:t xml:space="preserve"> عمومی</w:t>
      </w:r>
      <w:r w:rsidRPr="00EC7EC2">
        <w:rPr>
          <w:rFonts w:hint="cs"/>
          <w:rtl/>
          <w:lang w:bidi="fa-IR"/>
        </w:rPr>
        <w:t xml:space="preserve"> دادگاه‌ها رأی داوری خارجی را به موجب کنوانسیون نیویورک به اجرا </w:t>
      </w:r>
      <w:r>
        <w:rPr>
          <w:rFonts w:hint="cs"/>
          <w:rtl/>
          <w:lang w:bidi="fa-IR"/>
        </w:rPr>
        <w:t>گذاشته‌اند</w:t>
      </w:r>
      <w:r w:rsidRPr="00EC7EC2">
        <w:rPr>
          <w:rFonts w:hint="cs"/>
          <w:rtl/>
          <w:lang w:bidi="fa-IR"/>
        </w:rPr>
        <w:t>.</w:t>
      </w:r>
      <w:r w:rsidRPr="00EC7EC2">
        <w:rPr>
          <w:rStyle w:val="FootnoteReference"/>
          <w:rtl/>
          <w:lang w:bidi="fa-IR"/>
        </w:rPr>
        <w:footnoteReference w:id="271"/>
      </w:r>
      <w:r w:rsidRPr="00EC7EC2">
        <w:rPr>
          <w:rFonts w:hint="cs"/>
          <w:rtl/>
          <w:lang w:bidi="fa-IR"/>
        </w:rPr>
        <w:t xml:space="preserve"> </w:t>
      </w:r>
      <w:r>
        <w:rPr>
          <w:rFonts w:hint="cs"/>
          <w:rtl/>
          <w:lang w:bidi="fa-IR"/>
        </w:rPr>
        <w:t>پرونده نو</w:t>
      </w:r>
      <w:r w:rsidR="00A7714F">
        <w:rPr>
          <w:rFonts w:hint="cs"/>
          <w:rtl/>
          <w:lang w:bidi="fa-IR"/>
        </w:rPr>
        <w:t>ر</w:t>
      </w:r>
      <w:r>
        <w:rPr>
          <w:rFonts w:hint="cs"/>
          <w:rtl/>
          <w:lang w:bidi="fa-IR"/>
        </w:rPr>
        <w:t>تروپ مقابل تراید اهمیت شرط قانون انتخابی در قرارداد داوری و نیز مسئله اعمال نظم عمومی کدام ک</w:t>
      </w:r>
      <w:r w:rsidR="000267AA">
        <w:rPr>
          <w:rFonts w:hint="cs"/>
          <w:rtl/>
          <w:lang w:bidi="fa-IR"/>
        </w:rPr>
        <w:t>شور در ارزیابی مباحث پیرامون این موضوع</w:t>
      </w:r>
      <w:r>
        <w:rPr>
          <w:rFonts w:hint="cs"/>
          <w:rtl/>
          <w:lang w:bidi="fa-IR"/>
        </w:rPr>
        <w:t xml:space="preserve"> را شرح می‌دهد.</w:t>
      </w:r>
      <w:r>
        <w:rPr>
          <w:rStyle w:val="FootnoteReference"/>
          <w:rtl/>
          <w:lang w:bidi="fa-IR"/>
        </w:rPr>
        <w:footnoteReference w:id="272"/>
      </w:r>
      <w:r>
        <w:rPr>
          <w:rFonts w:hint="cs"/>
          <w:rtl/>
          <w:lang w:bidi="fa-IR"/>
        </w:rPr>
        <w:t xml:space="preserve"> در پرونده مذکور، دادگاه استیناف مدار نهم ایالات متحده</w:t>
      </w:r>
      <w:r>
        <w:rPr>
          <w:rStyle w:val="FootnoteReference"/>
          <w:rtl/>
          <w:lang w:bidi="fa-IR"/>
        </w:rPr>
        <w:footnoteReference w:id="273"/>
      </w:r>
      <w:r>
        <w:rPr>
          <w:rFonts w:hint="cs"/>
          <w:rtl/>
          <w:lang w:bidi="fa-IR"/>
        </w:rPr>
        <w:t xml:space="preserve"> معیار نظم عمومی را به طور مضیق تفسیر و رأی داوری را اجرا کرد.</w:t>
      </w:r>
    </w:p>
    <w:p w:rsidR="003602AD" w:rsidRDefault="003602AD" w:rsidP="00C60D35">
      <w:pPr>
        <w:bidi/>
        <w:ind w:firstLine="360"/>
        <w:jc w:val="mediumKashida"/>
        <w:rPr>
          <w:rtl/>
          <w:lang w:bidi="fa-IR"/>
        </w:rPr>
      </w:pPr>
      <w:r>
        <w:rPr>
          <w:rFonts w:hint="cs"/>
          <w:rtl/>
          <w:lang w:bidi="fa-IR"/>
        </w:rPr>
        <w:t xml:space="preserve"> </w:t>
      </w:r>
      <w:r w:rsidR="00C60D35">
        <w:rPr>
          <w:rtl/>
          <w:lang w:bidi="fa-IR"/>
        </w:rPr>
        <w:t>نور</w:t>
      </w:r>
      <w:r w:rsidR="00C60D35">
        <w:rPr>
          <w:rFonts w:hint="cs"/>
          <w:rtl/>
          <w:lang w:bidi="fa-IR"/>
        </w:rPr>
        <w:t>ت</w:t>
      </w:r>
      <w:r>
        <w:rPr>
          <w:rtl/>
          <w:lang w:bidi="fa-IR"/>
        </w:rPr>
        <w:t>روپ</w:t>
      </w:r>
      <w:r>
        <w:rPr>
          <w:rFonts w:hint="cs"/>
          <w:rtl/>
          <w:lang w:bidi="fa-IR"/>
        </w:rPr>
        <w:t xml:space="preserve">، تأمین‌کننده سلاح‌های ایالات متحده آمریکا و طرفی </w:t>
      </w:r>
      <w:r w:rsidR="00C60D35">
        <w:rPr>
          <w:rFonts w:hint="cs"/>
          <w:rtl/>
          <w:lang w:bidi="fa-IR"/>
        </w:rPr>
        <w:t>است که مخالف اجراست، یک قرارداد</w:t>
      </w:r>
      <w:r>
        <w:rPr>
          <w:rFonts w:hint="cs"/>
          <w:rtl/>
          <w:lang w:bidi="fa-IR"/>
        </w:rPr>
        <w:t xml:space="preserve"> بازاریابی با </w:t>
      </w:r>
      <w:r>
        <w:rPr>
          <w:rtl/>
          <w:lang w:bidi="fa-IR"/>
        </w:rPr>
        <w:t>تراید</w:t>
      </w:r>
      <w:r w:rsidR="00C60D35">
        <w:rPr>
          <w:rFonts w:hint="cs"/>
          <w:rtl/>
          <w:lang w:bidi="fa-IR"/>
        </w:rPr>
        <w:t xml:space="preserve"> منعقد ساخته که در آن مقرر گشته</w:t>
      </w:r>
      <w:r>
        <w:rPr>
          <w:rFonts w:hint="cs"/>
          <w:rtl/>
          <w:lang w:bidi="fa-IR"/>
        </w:rPr>
        <w:t xml:space="preserve"> که </w:t>
      </w:r>
      <w:r>
        <w:rPr>
          <w:rtl/>
          <w:lang w:bidi="fa-IR"/>
        </w:rPr>
        <w:t>تراید</w:t>
      </w:r>
      <w:r>
        <w:rPr>
          <w:rFonts w:hint="cs"/>
          <w:rtl/>
          <w:lang w:bidi="fa-IR"/>
        </w:rPr>
        <w:t xml:space="preserve"> در مقابل دریافت حق دلالی در فروش، قرارادادهایی برای فروش تجهیزات نظامی به نیروی هوایی عربستان سعودی</w:t>
      </w:r>
      <w:r w:rsidR="00C60D35">
        <w:rPr>
          <w:rFonts w:hint="cs"/>
          <w:rtl/>
          <w:lang w:bidi="fa-IR"/>
        </w:rPr>
        <w:t>،</w:t>
      </w:r>
      <w:r>
        <w:rPr>
          <w:rFonts w:hint="cs"/>
          <w:rtl/>
          <w:lang w:bidi="fa-IR"/>
        </w:rPr>
        <w:t xml:space="preserve"> برای </w:t>
      </w:r>
      <w:r w:rsidR="00C60D35">
        <w:rPr>
          <w:rtl/>
          <w:lang w:bidi="fa-IR"/>
        </w:rPr>
        <w:t>نور</w:t>
      </w:r>
      <w:r w:rsidR="00C60D35">
        <w:rPr>
          <w:rFonts w:hint="cs"/>
          <w:rtl/>
          <w:lang w:bidi="fa-IR"/>
        </w:rPr>
        <w:t>ت</w:t>
      </w:r>
      <w:r>
        <w:rPr>
          <w:rtl/>
          <w:lang w:bidi="fa-IR"/>
        </w:rPr>
        <w:t>روپ</w:t>
      </w:r>
      <w:r w:rsidR="00C60D35">
        <w:rPr>
          <w:rFonts w:hint="cs"/>
          <w:rtl/>
          <w:lang w:bidi="fa-IR"/>
        </w:rPr>
        <w:t xml:space="preserve"> کارسازی</w:t>
      </w:r>
      <w:r>
        <w:rPr>
          <w:rFonts w:hint="cs"/>
          <w:rtl/>
          <w:lang w:bidi="fa-IR"/>
        </w:rPr>
        <w:t xml:space="preserve"> کند. پس از آن که </w:t>
      </w:r>
      <w:r>
        <w:rPr>
          <w:rtl/>
          <w:lang w:bidi="fa-IR"/>
        </w:rPr>
        <w:t>تراید</w:t>
      </w:r>
      <w:r>
        <w:rPr>
          <w:rFonts w:hint="cs"/>
          <w:rtl/>
          <w:lang w:bidi="fa-IR"/>
        </w:rPr>
        <w:t xml:space="preserve"> </w:t>
      </w:r>
      <w:r>
        <w:rPr>
          <w:rFonts w:hint="cs"/>
          <w:rtl/>
          <w:lang w:bidi="fa-IR"/>
        </w:rPr>
        <w:lastRenderedPageBreak/>
        <w:t xml:space="preserve">قراردادها را با موفقیت برای </w:t>
      </w:r>
      <w:r w:rsidR="00C60D35">
        <w:rPr>
          <w:rtl/>
          <w:lang w:bidi="fa-IR"/>
        </w:rPr>
        <w:t>نور</w:t>
      </w:r>
      <w:r w:rsidR="00C60D35">
        <w:rPr>
          <w:rFonts w:hint="cs"/>
          <w:rtl/>
          <w:lang w:bidi="fa-IR"/>
        </w:rPr>
        <w:t>ت</w:t>
      </w:r>
      <w:r>
        <w:rPr>
          <w:rtl/>
          <w:lang w:bidi="fa-IR"/>
        </w:rPr>
        <w:t>روپ</w:t>
      </w:r>
      <w:r w:rsidR="00C60D35">
        <w:rPr>
          <w:rFonts w:hint="cs"/>
          <w:rtl/>
          <w:lang w:bidi="fa-IR"/>
        </w:rPr>
        <w:t xml:space="preserve"> مهیا نمو</w:t>
      </w:r>
      <w:r>
        <w:rPr>
          <w:rFonts w:hint="cs"/>
          <w:rtl/>
          <w:lang w:bidi="fa-IR"/>
        </w:rPr>
        <w:t xml:space="preserve">د، عربستان سعودی حکمی صادر کرد که به موجب آن دریافت حق دلالی برای قراردادهای تسلیحاتی ممنوع شد. در نتیجه، </w:t>
      </w:r>
      <w:r>
        <w:rPr>
          <w:rtl/>
          <w:lang w:bidi="fa-IR"/>
        </w:rPr>
        <w:t>ن</w:t>
      </w:r>
      <w:r w:rsidR="00C60D35">
        <w:rPr>
          <w:rtl/>
          <w:lang w:bidi="fa-IR"/>
        </w:rPr>
        <w:t>ور</w:t>
      </w:r>
      <w:r w:rsidR="00C60D35">
        <w:rPr>
          <w:rFonts w:hint="cs"/>
          <w:rtl/>
          <w:lang w:bidi="fa-IR"/>
        </w:rPr>
        <w:t>ت</w:t>
      </w:r>
      <w:r>
        <w:rPr>
          <w:rtl/>
          <w:lang w:bidi="fa-IR"/>
        </w:rPr>
        <w:t>روپ</w:t>
      </w:r>
      <w:r>
        <w:rPr>
          <w:rFonts w:hint="cs"/>
          <w:rtl/>
          <w:lang w:bidi="fa-IR"/>
        </w:rPr>
        <w:t xml:space="preserve"> پرداخت حق دلالی را به </w:t>
      </w:r>
      <w:r>
        <w:rPr>
          <w:rtl/>
          <w:lang w:bidi="fa-IR"/>
        </w:rPr>
        <w:t>تراید</w:t>
      </w:r>
      <w:r>
        <w:rPr>
          <w:rFonts w:hint="cs"/>
          <w:rtl/>
          <w:lang w:bidi="fa-IR"/>
        </w:rPr>
        <w:t xml:space="preserve"> متوقف کرد و </w:t>
      </w:r>
      <w:r>
        <w:rPr>
          <w:rtl/>
          <w:lang w:bidi="fa-IR"/>
        </w:rPr>
        <w:t>تراید</w:t>
      </w:r>
      <w:r>
        <w:rPr>
          <w:rFonts w:hint="cs"/>
          <w:rtl/>
          <w:lang w:bidi="fa-IR"/>
        </w:rPr>
        <w:t xml:space="preserve"> هم اختلاف را با استناد به قراداد بازاریابی به داوری ارجاع داد. از آن‌جا که داوری رأی به نفع </w:t>
      </w:r>
      <w:r>
        <w:rPr>
          <w:rtl/>
          <w:lang w:bidi="fa-IR"/>
        </w:rPr>
        <w:t>تراید</w:t>
      </w:r>
      <w:r>
        <w:rPr>
          <w:rFonts w:hint="cs"/>
          <w:rtl/>
          <w:lang w:bidi="fa-IR"/>
        </w:rPr>
        <w:t xml:space="preserve"> صادر کرد، </w:t>
      </w:r>
      <w:r>
        <w:rPr>
          <w:rtl/>
          <w:lang w:bidi="fa-IR"/>
        </w:rPr>
        <w:t>تراید</w:t>
      </w:r>
      <w:r w:rsidR="00C60D35">
        <w:rPr>
          <w:rFonts w:hint="cs"/>
          <w:rtl/>
          <w:lang w:bidi="fa-IR"/>
        </w:rPr>
        <w:t xml:space="preserve"> خواستار</w:t>
      </w:r>
      <w:r>
        <w:rPr>
          <w:rFonts w:hint="cs"/>
          <w:rtl/>
          <w:lang w:bidi="fa-IR"/>
        </w:rPr>
        <w:t xml:space="preserve"> تأیید</w:t>
      </w:r>
      <w:r w:rsidR="00C60D35">
        <w:rPr>
          <w:rFonts w:hint="cs"/>
          <w:rtl/>
          <w:lang w:bidi="fa-IR"/>
        </w:rPr>
        <w:t xml:space="preserve"> و شناسایی</w:t>
      </w:r>
      <w:r>
        <w:rPr>
          <w:rFonts w:hint="cs"/>
          <w:rtl/>
          <w:lang w:bidi="fa-IR"/>
        </w:rPr>
        <w:t xml:space="preserve"> رأی در </w:t>
      </w:r>
      <w:r w:rsidR="00C60D35">
        <w:rPr>
          <w:rFonts w:hint="cs"/>
          <w:rtl/>
          <w:lang w:bidi="fa-IR"/>
        </w:rPr>
        <w:t>دادگاه‌های آمریکا شد</w:t>
      </w:r>
      <w:r>
        <w:rPr>
          <w:rFonts w:hint="cs"/>
          <w:rtl/>
          <w:lang w:bidi="fa-IR"/>
        </w:rPr>
        <w:t xml:space="preserve">. استدلال </w:t>
      </w:r>
      <w:r w:rsidR="00C60D35">
        <w:rPr>
          <w:rtl/>
          <w:lang w:bidi="fa-IR"/>
        </w:rPr>
        <w:t>نور</w:t>
      </w:r>
      <w:r w:rsidR="00C60D35">
        <w:rPr>
          <w:rFonts w:hint="cs"/>
          <w:rtl/>
          <w:lang w:bidi="fa-IR"/>
        </w:rPr>
        <w:t>ت</w:t>
      </w:r>
      <w:r>
        <w:rPr>
          <w:rtl/>
          <w:lang w:bidi="fa-IR"/>
        </w:rPr>
        <w:t>روپ</w:t>
      </w:r>
      <w:r>
        <w:rPr>
          <w:rFonts w:hint="cs"/>
          <w:rtl/>
          <w:lang w:bidi="fa-IR"/>
        </w:rPr>
        <w:t xml:space="preserve"> این بود که قرارداد بازاری</w:t>
      </w:r>
      <w:r w:rsidR="0017778F">
        <w:rPr>
          <w:rFonts w:hint="cs"/>
          <w:rtl/>
          <w:lang w:bidi="fa-IR"/>
        </w:rPr>
        <w:t>ابی از اعتبار ساقط گردیده،</w:t>
      </w:r>
      <w:r>
        <w:rPr>
          <w:rFonts w:hint="cs"/>
          <w:rtl/>
          <w:lang w:bidi="fa-IR"/>
        </w:rPr>
        <w:t xml:space="preserve"> </w:t>
      </w:r>
      <w:r w:rsidRPr="005A64AA">
        <w:rPr>
          <w:rFonts w:hint="cs"/>
          <w:rtl/>
          <w:lang w:bidi="fa-IR"/>
        </w:rPr>
        <w:t>به</w:t>
      </w:r>
      <w:r w:rsidRPr="005A64AA">
        <w:rPr>
          <w:rtl/>
          <w:lang w:bidi="fa-IR"/>
        </w:rPr>
        <w:t xml:space="preserve"> </w:t>
      </w:r>
      <w:r w:rsidRPr="005A64AA">
        <w:rPr>
          <w:rFonts w:hint="cs"/>
          <w:rtl/>
          <w:lang w:bidi="fa-IR"/>
        </w:rPr>
        <w:t>موجب</w:t>
      </w:r>
      <w:r w:rsidRPr="005A64AA">
        <w:rPr>
          <w:rtl/>
          <w:lang w:bidi="fa-IR"/>
        </w:rPr>
        <w:t xml:space="preserve"> </w:t>
      </w:r>
      <w:r w:rsidRPr="005A64AA">
        <w:rPr>
          <w:rFonts w:hint="cs"/>
          <w:rtl/>
          <w:lang w:bidi="fa-IR"/>
        </w:rPr>
        <w:t>ماده</w:t>
      </w:r>
      <w:r w:rsidRPr="005A64AA">
        <w:rPr>
          <w:rtl/>
          <w:lang w:bidi="fa-IR"/>
        </w:rPr>
        <w:t xml:space="preserve"> 1511 </w:t>
      </w:r>
      <w:r w:rsidRPr="005A64AA">
        <w:rPr>
          <w:rFonts w:hint="cs"/>
          <w:rtl/>
          <w:lang w:bidi="fa-IR"/>
        </w:rPr>
        <w:t>از</w:t>
      </w:r>
      <w:r w:rsidRPr="005A64AA">
        <w:rPr>
          <w:rtl/>
          <w:lang w:bidi="fa-IR"/>
        </w:rPr>
        <w:t xml:space="preserve"> </w:t>
      </w:r>
      <w:r w:rsidRPr="005A64AA">
        <w:rPr>
          <w:rFonts w:hint="cs"/>
          <w:rtl/>
          <w:lang w:bidi="fa-IR"/>
        </w:rPr>
        <w:t>قانون</w:t>
      </w:r>
      <w:r w:rsidRPr="005A64AA">
        <w:rPr>
          <w:rtl/>
          <w:lang w:bidi="fa-IR"/>
        </w:rPr>
        <w:t xml:space="preserve"> </w:t>
      </w:r>
      <w:r w:rsidRPr="005A64AA">
        <w:rPr>
          <w:rFonts w:hint="cs"/>
          <w:rtl/>
          <w:lang w:bidi="fa-IR"/>
        </w:rPr>
        <w:t>مدنی</w:t>
      </w:r>
      <w:r w:rsidRPr="005A64AA">
        <w:rPr>
          <w:rtl/>
          <w:lang w:bidi="fa-IR"/>
        </w:rPr>
        <w:t xml:space="preserve"> </w:t>
      </w:r>
      <w:r w:rsidRPr="005A64AA">
        <w:rPr>
          <w:rFonts w:hint="cs"/>
          <w:rtl/>
          <w:lang w:bidi="fa-IR"/>
        </w:rPr>
        <w:t>کالیفرنیا</w:t>
      </w:r>
      <w:r>
        <w:rPr>
          <w:rStyle w:val="FootnoteReference"/>
          <w:rtl/>
          <w:lang w:bidi="fa-IR"/>
        </w:rPr>
        <w:footnoteReference w:id="274"/>
      </w:r>
      <w:r w:rsidRPr="005A64AA">
        <w:rPr>
          <w:rFonts w:hint="cs"/>
          <w:rtl/>
          <w:lang w:bidi="fa-IR"/>
        </w:rPr>
        <w:t>،</w:t>
      </w:r>
      <w:r w:rsidRPr="005A64AA">
        <w:rPr>
          <w:rtl/>
          <w:lang w:bidi="fa-IR"/>
        </w:rPr>
        <w:t xml:space="preserve"> </w:t>
      </w:r>
      <w:r>
        <w:rPr>
          <w:rFonts w:hint="cs"/>
          <w:rtl/>
          <w:lang w:bidi="fa-IR"/>
        </w:rPr>
        <w:t xml:space="preserve">پس از آن که عربستان سعودی پرداخت حق دلالی را غیر قانونی اعلام کرد. از این‌رو اجرای قرارداد و رأی (مبنی بر پرداخت حق </w:t>
      </w:r>
      <w:r w:rsidR="0017778F">
        <w:rPr>
          <w:rFonts w:hint="cs"/>
          <w:rtl/>
          <w:lang w:bidi="fa-IR"/>
        </w:rPr>
        <w:t>دلالی) نظم عمومی را نقض می‌نمای</w:t>
      </w:r>
      <w:r>
        <w:rPr>
          <w:rFonts w:hint="cs"/>
          <w:rtl/>
          <w:lang w:bidi="fa-IR"/>
        </w:rPr>
        <w:t xml:space="preserve">د. </w:t>
      </w:r>
      <w:r w:rsidR="0017778F">
        <w:rPr>
          <w:rtl/>
          <w:lang w:bidi="fa-IR"/>
        </w:rPr>
        <w:t>نور</w:t>
      </w:r>
      <w:r w:rsidR="0017778F">
        <w:rPr>
          <w:rFonts w:hint="cs"/>
          <w:rtl/>
          <w:lang w:bidi="fa-IR"/>
        </w:rPr>
        <w:t>ت</w:t>
      </w:r>
      <w:r>
        <w:rPr>
          <w:rtl/>
          <w:lang w:bidi="fa-IR"/>
        </w:rPr>
        <w:t>روپ</w:t>
      </w:r>
      <w:r>
        <w:rPr>
          <w:lang w:bidi="fa-IR"/>
        </w:rPr>
        <w:t xml:space="preserve"> </w:t>
      </w:r>
      <w:r>
        <w:rPr>
          <w:rFonts w:hint="cs"/>
          <w:rtl/>
          <w:lang w:bidi="fa-IR"/>
        </w:rPr>
        <w:t xml:space="preserve"> سه استدلال از نظم عمومی ارائه داد:</w:t>
      </w:r>
    </w:p>
    <w:p w:rsidR="003602AD" w:rsidRDefault="0017778F" w:rsidP="0017778F">
      <w:pPr>
        <w:bidi/>
        <w:ind w:firstLine="360"/>
        <w:jc w:val="mediumKashida"/>
        <w:rPr>
          <w:rtl/>
          <w:lang w:bidi="fa-IR"/>
        </w:rPr>
      </w:pPr>
      <w:r>
        <w:rPr>
          <w:rFonts w:hint="cs"/>
          <w:rtl/>
          <w:lang w:bidi="fa-IR"/>
        </w:rPr>
        <w:t>نخست؛</w:t>
      </w:r>
      <w:r w:rsidR="003602AD">
        <w:rPr>
          <w:rFonts w:hint="cs"/>
          <w:rtl/>
          <w:lang w:bidi="fa-IR"/>
        </w:rPr>
        <w:t xml:space="preserve"> استدلال کرد که نظم عمومی کال</w:t>
      </w:r>
      <w:r>
        <w:rPr>
          <w:rFonts w:hint="cs"/>
          <w:rtl/>
          <w:lang w:bidi="fa-IR"/>
        </w:rPr>
        <w:t>یفرنیا مستلزم این است که دادگاه</w:t>
      </w:r>
      <w:r w:rsidR="003602AD">
        <w:rPr>
          <w:rFonts w:hint="cs"/>
          <w:rtl/>
          <w:lang w:bidi="fa-IR"/>
        </w:rPr>
        <w:t xml:space="preserve"> از اجرای قراردادی که در حوزه‌های قضایی دیگر غیر قابل اجرا می‌باشد</w:t>
      </w:r>
      <w:r>
        <w:rPr>
          <w:rFonts w:hint="cs"/>
          <w:rtl/>
          <w:lang w:bidi="fa-IR"/>
        </w:rPr>
        <w:t>، ممانعت کند.</w:t>
      </w:r>
    </w:p>
    <w:p w:rsidR="003602AD" w:rsidRDefault="0017778F" w:rsidP="0017778F">
      <w:pPr>
        <w:bidi/>
        <w:ind w:firstLine="360"/>
        <w:jc w:val="mediumKashida"/>
        <w:rPr>
          <w:rtl/>
          <w:lang w:bidi="fa-IR"/>
        </w:rPr>
      </w:pPr>
      <w:r>
        <w:rPr>
          <w:rFonts w:hint="cs"/>
          <w:rtl/>
          <w:lang w:bidi="fa-IR"/>
        </w:rPr>
        <w:t>دوم؛</w:t>
      </w:r>
      <w:r w:rsidR="003602AD">
        <w:rPr>
          <w:rFonts w:hint="cs"/>
          <w:rtl/>
          <w:lang w:bidi="fa-IR"/>
        </w:rPr>
        <w:t xml:space="preserve"> ادعا کرد که اجرای رأی در تعا</w:t>
      </w:r>
      <w:r>
        <w:rPr>
          <w:rFonts w:hint="cs"/>
          <w:rtl/>
          <w:lang w:bidi="fa-IR"/>
        </w:rPr>
        <w:t>ر</w:t>
      </w:r>
      <w:r w:rsidR="003602AD">
        <w:rPr>
          <w:rFonts w:hint="cs"/>
          <w:rtl/>
          <w:lang w:bidi="fa-IR"/>
        </w:rPr>
        <w:t xml:space="preserve">ض با نظم عمومی عربستان صعودی است، </w:t>
      </w:r>
      <w:r>
        <w:rPr>
          <w:rFonts w:hint="cs"/>
          <w:rtl/>
          <w:lang w:bidi="fa-IR"/>
        </w:rPr>
        <w:t xml:space="preserve">با توجه به این‌که </w:t>
      </w:r>
      <w:r w:rsidR="003602AD">
        <w:rPr>
          <w:rFonts w:hint="cs"/>
          <w:rtl/>
          <w:lang w:bidi="fa-IR"/>
        </w:rPr>
        <w:t>در آن فرمان</w:t>
      </w:r>
      <w:r>
        <w:rPr>
          <w:rFonts w:hint="cs"/>
          <w:rtl/>
          <w:lang w:bidi="fa-IR"/>
        </w:rPr>
        <w:t xml:space="preserve"> ممنوعیت مربوط به موضوع قرارداد را اعلام کرده است</w:t>
      </w:r>
      <w:r w:rsidR="003602AD">
        <w:rPr>
          <w:rFonts w:hint="cs"/>
          <w:rtl/>
          <w:lang w:bidi="fa-IR"/>
        </w:rPr>
        <w:t>.</w:t>
      </w:r>
    </w:p>
    <w:p w:rsidR="003602AD" w:rsidRDefault="003602AD" w:rsidP="006C6D55">
      <w:pPr>
        <w:bidi/>
        <w:ind w:firstLine="360"/>
        <w:jc w:val="mediumKashida"/>
        <w:rPr>
          <w:rtl/>
          <w:lang w:bidi="fa-IR"/>
        </w:rPr>
      </w:pPr>
      <w:r>
        <w:rPr>
          <w:rFonts w:hint="cs"/>
          <w:rtl/>
          <w:lang w:bidi="fa-IR"/>
        </w:rPr>
        <w:t>سو</w:t>
      </w:r>
      <w:r w:rsidR="0017778F">
        <w:rPr>
          <w:rFonts w:hint="cs"/>
          <w:rtl/>
          <w:lang w:bidi="fa-IR"/>
        </w:rPr>
        <w:t>م؛</w:t>
      </w:r>
      <w:r>
        <w:rPr>
          <w:rFonts w:hint="cs"/>
          <w:rtl/>
          <w:lang w:bidi="fa-IR"/>
        </w:rPr>
        <w:t xml:space="preserve"> مدعی شد که وزارت</w:t>
      </w:r>
      <w:r w:rsidR="006C6D55">
        <w:rPr>
          <w:rFonts w:hint="cs"/>
          <w:rtl/>
          <w:lang w:bidi="fa-IR"/>
        </w:rPr>
        <w:t xml:space="preserve"> دفاع ایالات متحده آمریکا نیز همان نظم عمومی مندرج </w:t>
      </w:r>
      <w:r>
        <w:rPr>
          <w:rFonts w:hint="cs"/>
          <w:rtl/>
          <w:lang w:bidi="fa-IR"/>
        </w:rPr>
        <w:t>در فرمان عربستان صعودی را دارا می‌باشد.</w:t>
      </w:r>
    </w:p>
    <w:p w:rsidR="003602AD" w:rsidRDefault="003602AD" w:rsidP="00A7714F">
      <w:pPr>
        <w:bidi/>
        <w:ind w:firstLine="360"/>
        <w:jc w:val="mediumKashida"/>
        <w:rPr>
          <w:rtl/>
          <w:lang w:bidi="fa-IR"/>
        </w:rPr>
      </w:pPr>
      <w:r>
        <w:rPr>
          <w:rFonts w:hint="cs"/>
          <w:rtl/>
          <w:lang w:bidi="fa-IR"/>
        </w:rPr>
        <w:t>دادگاه استیناف مدار نهم آمریکا هر سه استدلال را رد کرد. بر طبق نظر دادگاه حتی اگر قانون عربستان صعودی پرداخت چنین حق دلالی را ممنوع کرده</w:t>
      </w:r>
      <w:r w:rsidR="006C6D55">
        <w:rPr>
          <w:rFonts w:hint="cs"/>
          <w:rtl/>
          <w:lang w:bidi="fa-IR"/>
        </w:rPr>
        <w:t xml:space="preserve"> باشد</w:t>
      </w:r>
      <w:r>
        <w:rPr>
          <w:rFonts w:hint="cs"/>
          <w:rtl/>
          <w:lang w:bidi="fa-IR"/>
        </w:rPr>
        <w:t xml:space="preserve">، قانون مرتبط با موضوع، قانون کالیفرنیا می‌باشد، زمانی که طرفین آن قانون را به </w:t>
      </w:r>
      <w:r>
        <w:rPr>
          <w:rFonts w:hint="cs"/>
          <w:rtl/>
          <w:lang w:bidi="fa-IR"/>
        </w:rPr>
        <w:lastRenderedPageBreak/>
        <w:t>عنوان قانون حاکم بر داوری</w:t>
      </w:r>
      <w:r w:rsidR="00A7714F">
        <w:rPr>
          <w:rFonts w:hint="cs"/>
          <w:rtl/>
          <w:lang w:bidi="fa-IR"/>
        </w:rPr>
        <w:t xml:space="preserve">، </w:t>
      </w:r>
      <w:r>
        <w:rPr>
          <w:rFonts w:hint="cs"/>
          <w:rtl/>
          <w:lang w:bidi="fa-IR"/>
        </w:rPr>
        <w:t xml:space="preserve">انتخاب کرده‌اند. از آن‌جا که </w:t>
      </w:r>
      <w:r w:rsidR="006C6D55">
        <w:rPr>
          <w:rtl/>
          <w:lang w:bidi="fa-IR"/>
        </w:rPr>
        <w:t>نور</w:t>
      </w:r>
      <w:r w:rsidR="006C6D55">
        <w:rPr>
          <w:rFonts w:hint="cs"/>
          <w:rtl/>
          <w:lang w:bidi="fa-IR"/>
        </w:rPr>
        <w:t>ت</w:t>
      </w:r>
      <w:r>
        <w:rPr>
          <w:rtl/>
          <w:lang w:bidi="fa-IR"/>
        </w:rPr>
        <w:t>روپ</w:t>
      </w:r>
      <w:r>
        <w:rPr>
          <w:rFonts w:hint="cs"/>
          <w:rtl/>
          <w:lang w:bidi="fa-IR"/>
        </w:rPr>
        <w:t xml:space="preserve"> هیچ شواهدی مبنی بر این‌که قانون کالیفرنیا</w:t>
      </w:r>
      <w:r w:rsidR="006C6D55">
        <w:rPr>
          <w:rFonts w:hint="cs"/>
          <w:rtl/>
          <w:lang w:bidi="fa-IR"/>
        </w:rPr>
        <w:t xml:space="preserve"> </w:t>
      </w:r>
      <w:r>
        <w:rPr>
          <w:rFonts w:hint="cs"/>
          <w:rtl/>
          <w:lang w:bidi="fa-IR"/>
        </w:rPr>
        <w:t>پرداخت حق دلالی را</w:t>
      </w:r>
      <w:r w:rsidR="006C6D55">
        <w:rPr>
          <w:rFonts w:hint="cs"/>
          <w:rtl/>
          <w:lang w:bidi="fa-IR"/>
        </w:rPr>
        <w:t xml:space="preserve"> ممنوع کرده باشد، ارائه نکرده، بنابراین</w:t>
      </w:r>
      <w:r>
        <w:rPr>
          <w:rFonts w:hint="cs"/>
          <w:rtl/>
          <w:lang w:bidi="fa-IR"/>
        </w:rPr>
        <w:t xml:space="preserve"> نظم عمومی کالیفرنیا در این زمینه اعمال نمی‌شود. علاوه بر این، به دلیل این‌که خط مشیء وزارت دفاع ایالات متحده نسبت به عربستان سعودی به خوبی تعریف و برجسته نشده است، نظم عمومی هم در این زمینه وجود ندارد. بر این اساس، دادگاه مقرر کرد که اجرای رأی داوری مخالفتی با نظم عمومی نخواهد داشت و لازم است </w:t>
      </w:r>
      <w:r w:rsidR="006C6D55">
        <w:rPr>
          <w:rtl/>
          <w:lang w:bidi="fa-IR"/>
        </w:rPr>
        <w:t>نور</w:t>
      </w:r>
      <w:r w:rsidR="006C6D55">
        <w:rPr>
          <w:rFonts w:hint="cs"/>
          <w:rtl/>
          <w:lang w:bidi="fa-IR"/>
        </w:rPr>
        <w:t>ت</w:t>
      </w:r>
      <w:r>
        <w:rPr>
          <w:rtl/>
          <w:lang w:bidi="fa-IR"/>
        </w:rPr>
        <w:t>روپ</w:t>
      </w:r>
      <w:r>
        <w:rPr>
          <w:rFonts w:hint="cs"/>
          <w:rtl/>
          <w:lang w:bidi="fa-IR"/>
        </w:rPr>
        <w:t xml:space="preserve"> حق دلالی متعلق به </w:t>
      </w:r>
      <w:r>
        <w:rPr>
          <w:rtl/>
          <w:lang w:bidi="fa-IR"/>
        </w:rPr>
        <w:t>تراید</w:t>
      </w:r>
      <w:r w:rsidR="006C6D55">
        <w:rPr>
          <w:rFonts w:hint="cs"/>
          <w:rtl/>
          <w:lang w:bidi="fa-IR"/>
        </w:rPr>
        <w:t xml:space="preserve"> را پرداخت کند. بنابراین، با مد</w:t>
      </w:r>
      <w:r>
        <w:rPr>
          <w:rFonts w:hint="cs"/>
          <w:rtl/>
          <w:lang w:bidi="fa-IR"/>
        </w:rPr>
        <w:t>نظر قرار دا</w:t>
      </w:r>
      <w:r w:rsidR="006C6D55">
        <w:rPr>
          <w:rFonts w:hint="cs"/>
          <w:rtl/>
          <w:lang w:bidi="fa-IR"/>
        </w:rPr>
        <w:t>د</w:t>
      </w:r>
      <w:r>
        <w:rPr>
          <w:rFonts w:hint="cs"/>
          <w:rtl/>
          <w:lang w:bidi="fa-IR"/>
        </w:rPr>
        <w:t>ن قانون حاکم بر داوری، نظم عمومی به کشور محل ایفاء تعهد مربوط نبود، بلکه با کشور محل اجرا مرتبط بود.</w:t>
      </w:r>
    </w:p>
    <w:p w:rsidR="003602AD" w:rsidRPr="002F1CF1" w:rsidRDefault="003602AD" w:rsidP="006C6D55">
      <w:pPr>
        <w:bidi/>
        <w:ind w:firstLine="360"/>
        <w:jc w:val="mediumKashida"/>
        <w:rPr>
          <w:rtl/>
          <w:lang w:bidi="fa-IR"/>
        </w:rPr>
      </w:pPr>
      <w:r>
        <w:rPr>
          <w:rFonts w:hint="cs"/>
          <w:rtl/>
          <w:lang w:bidi="fa-IR"/>
        </w:rPr>
        <w:t>دادگاه است</w:t>
      </w:r>
      <w:r w:rsidR="006C6D55">
        <w:rPr>
          <w:rFonts w:hint="cs"/>
          <w:rtl/>
          <w:lang w:bidi="fa-IR"/>
        </w:rPr>
        <w:t xml:space="preserve">یناف انگلستان و ولز، در پرونده </w:t>
      </w:r>
      <w:r>
        <w:rPr>
          <w:rFonts w:hint="cs"/>
          <w:rtl/>
          <w:lang w:bidi="fa-IR"/>
        </w:rPr>
        <w:t>وست</w:t>
      </w:r>
      <w:r w:rsidR="006C6D55">
        <w:rPr>
          <w:rFonts w:hint="cs"/>
          <w:rtl/>
          <w:lang w:bidi="fa-IR"/>
        </w:rPr>
        <w:t>‌کیر مقابل</w:t>
      </w:r>
      <w:r>
        <w:rPr>
          <w:rFonts w:hint="cs"/>
          <w:rtl/>
          <w:lang w:bidi="fa-IR"/>
        </w:rPr>
        <w:t xml:space="preserve"> جاگوایمپورت-اس پی دی آر استدلال</w:t>
      </w:r>
      <w:r w:rsidR="00DF6D13">
        <w:rPr>
          <w:rFonts w:hint="cs"/>
          <w:rtl/>
          <w:lang w:bidi="fa-IR"/>
        </w:rPr>
        <w:t>ی</w:t>
      </w:r>
      <w:r>
        <w:rPr>
          <w:rFonts w:hint="cs"/>
          <w:rtl/>
          <w:lang w:bidi="fa-IR"/>
        </w:rPr>
        <w:t xml:space="preserve"> مشابه </w:t>
      </w:r>
      <w:r w:rsidR="00DF6D13">
        <w:rPr>
          <w:rFonts w:hint="cs"/>
          <w:rtl/>
          <w:lang w:bidi="fa-IR"/>
        </w:rPr>
        <w:t xml:space="preserve">آن‌چه </w:t>
      </w:r>
      <w:r>
        <w:rPr>
          <w:rFonts w:hint="cs"/>
          <w:rtl/>
          <w:lang w:bidi="fa-IR"/>
        </w:rPr>
        <w:t>در</w:t>
      </w:r>
      <w:r w:rsidR="00DF6D13">
        <w:rPr>
          <w:rFonts w:hint="cs"/>
          <w:rtl/>
          <w:lang w:bidi="fa-IR"/>
        </w:rPr>
        <w:t xml:space="preserve"> بالا ذکر شد در</w:t>
      </w:r>
      <w:r>
        <w:rPr>
          <w:rFonts w:hint="cs"/>
          <w:rtl/>
          <w:lang w:bidi="fa-IR"/>
        </w:rPr>
        <w:t xml:space="preserve"> زمینه نظم عمومی در نظر گرفته است.</w:t>
      </w:r>
      <w:r>
        <w:rPr>
          <w:rStyle w:val="FootnoteReference"/>
          <w:rtl/>
          <w:lang w:bidi="fa-IR"/>
        </w:rPr>
        <w:footnoteReference w:id="275"/>
      </w:r>
    </w:p>
    <w:p w:rsidR="003602AD" w:rsidRDefault="003602AD" w:rsidP="004C2DA3">
      <w:pPr>
        <w:bidi/>
        <w:ind w:firstLine="360"/>
        <w:jc w:val="mediumKashida"/>
        <w:rPr>
          <w:rFonts w:cs="B Davat"/>
          <w:sz w:val="40"/>
          <w:szCs w:val="40"/>
          <w:rtl/>
          <w:lang w:bidi="fa-IR"/>
        </w:rPr>
      </w:pPr>
    </w:p>
    <w:p w:rsidR="003602AD" w:rsidRDefault="003602AD" w:rsidP="000A47F6">
      <w:pPr>
        <w:pStyle w:val="Heading3"/>
        <w:rPr>
          <w:rtl/>
        </w:rPr>
      </w:pPr>
      <w:bookmarkStart w:id="37" w:name="_Toc397212664"/>
      <w:r>
        <w:rPr>
          <w:rFonts w:hint="cs"/>
          <w:rtl/>
        </w:rPr>
        <w:t xml:space="preserve">4-2) </w:t>
      </w:r>
      <w:r w:rsidRPr="00A3639F">
        <w:rPr>
          <w:rFonts w:hint="cs"/>
          <w:rtl/>
        </w:rPr>
        <w:t>موارد نادر امتناع دادگاه‌های آمریکایی و انگلیسی از اجرای رأی</w:t>
      </w:r>
      <w:bookmarkEnd w:id="37"/>
    </w:p>
    <w:p w:rsidR="009B6E7F" w:rsidRPr="009B6E7F" w:rsidRDefault="009B6E7F" w:rsidP="004C2DA3">
      <w:pPr>
        <w:bidi/>
        <w:ind w:firstLine="360"/>
        <w:rPr>
          <w:rtl/>
          <w:lang w:bidi="fa-IR"/>
        </w:rPr>
      </w:pPr>
    </w:p>
    <w:p w:rsidR="00DF6D13" w:rsidRDefault="003602AD" w:rsidP="00DF6D13">
      <w:pPr>
        <w:bidi/>
        <w:ind w:firstLine="360"/>
        <w:jc w:val="mediumKashida"/>
        <w:rPr>
          <w:rtl/>
          <w:lang w:bidi="fa-IR"/>
        </w:rPr>
      </w:pPr>
      <w:r>
        <w:rPr>
          <w:rFonts w:hint="cs"/>
          <w:rtl/>
          <w:lang w:bidi="fa-IR"/>
        </w:rPr>
        <w:t xml:space="preserve">با وجود تفسیر مضیق معیار نظم عمومی، دادگاه‌های ایالات متحده در شرایط بسیار نادر از اجرای رأی بر این اساس که در تعارض با نظم عمومی می‌باشد، امتناع </w:t>
      </w:r>
      <w:r>
        <w:rPr>
          <w:rFonts w:hint="cs"/>
          <w:rtl/>
          <w:lang w:bidi="fa-IR"/>
        </w:rPr>
        <w:lastRenderedPageBreak/>
        <w:t>ورزیده‌اند. برای ن</w:t>
      </w:r>
      <w:r w:rsidR="00DF6D13">
        <w:rPr>
          <w:rFonts w:hint="cs"/>
          <w:rtl/>
          <w:lang w:bidi="fa-IR"/>
        </w:rPr>
        <w:t>مونه در پرونده لامینرز علیه سوت</w:t>
      </w:r>
      <w:r>
        <w:rPr>
          <w:rFonts w:hint="cs"/>
          <w:rtl/>
          <w:lang w:bidi="fa-IR"/>
        </w:rPr>
        <w:t>‌و</w:t>
      </w:r>
      <w:r w:rsidRPr="000F406E">
        <w:rPr>
          <w:rFonts w:hint="cs"/>
          <w:rtl/>
          <w:lang w:bidi="fa-IR"/>
        </w:rPr>
        <w:t>ایر</w:t>
      </w:r>
      <w:r>
        <w:rPr>
          <w:rFonts w:hint="cs"/>
          <w:rtl/>
          <w:lang w:bidi="fa-IR"/>
        </w:rPr>
        <w:t xml:space="preserve"> دادگاه آمریکایی </w:t>
      </w:r>
      <w:r w:rsidR="00DF6D13">
        <w:rPr>
          <w:rFonts w:hint="cs"/>
          <w:rtl/>
          <w:lang w:bidi="fa-IR"/>
        </w:rPr>
        <w:t>از اجرا</w:t>
      </w:r>
      <w:r>
        <w:rPr>
          <w:rFonts w:hint="cs"/>
          <w:rtl/>
          <w:lang w:bidi="fa-IR"/>
        </w:rPr>
        <w:t>ی بخشی از رأی به دلیل مخالفت داشتن با نظم عمومی</w:t>
      </w:r>
      <w:r w:rsidR="00DF6D13">
        <w:rPr>
          <w:rFonts w:hint="cs"/>
          <w:rtl/>
          <w:lang w:bidi="fa-IR"/>
        </w:rPr>
        <w:t>، امتناع نمود</w:t>
      </w:r>
      <w:r>
        <w:rPr>
          <w:rFonts w:hint="cs"/>
          <w:rtl/>
          <w:lang w:bidi="fa-IR"/>
        </w:rPr>
        <w:t>.</w:t>
      </w:r>
      <w:r>
        <w:rPr>
          <w:rStyle w:val="FootnoteReference"/>
          <w:rtl/>
          <w:lang w:bidi="fa-IR"/>
        </w:rPr>
        <w:footnoteReference w:id="276"/>
      </w:r>
      <w:r>
        <w:rPr>
          <w:rFonts w:hint="cs"/>
          <w:rtl/>
          <w:lang w:bidi="fa-IR"/>
        </w:rPr>
        <w:t xml:space="preserve"> </w:t>
      </w:r>
    </w:p>
    <w:p w:rsidR="003602AD" w:rsidRDefault="003602AD" w:rsidP="00DF6D13">
      <w:pPr>
        <w:bidi/>
        <w:ind w:firstLine="360"/>
        <w:jc w:val="mediumKashida"/>
        <w:rPr>
          <w:rtl/>
          <w:lang w:bidi="fa-IR"/>
        </w:rPr>
      </w:pPr>
      <w:r>
        <w:rPr>
          <w:rFonts w:hint="cs"/>
          <w:rtl/>
          <w:lang w:bidi="fa-IR"/>
        </w:rPr>
        <w:t xml:space="preserve">شرکت فرانسوی </w:t>
      </w:r>
      <w:r>
        <w:rPr>
          <w:rtl/>
          <w:lang w:bidi="fa-IR"/>
        </w:rPr>
        <w:t>لامینرز</w:t>
      </w:r>
      <w:r>
        <w:rPr>
          <w:rFonts w:hint="cs"/>
          <w:rtl/>
          <w:lang w:bidi="fa-IR"/>
        </w:rPr>
        <w:t xml:space="preserve"> در زمینه تولید و فروش سیم فولادی گالوانیزه بر طبق قیمت بازار جهانی با </w:t>
      </w:r>
      <w:r>
        <w:rPr>
          <w:rtl/>
          <w:lang w:bidi="fa-IR"/>
        </w:rPr>
        <w:t>سوث‌وایر</w:t>
      </w:r>
      <w:r>
        <w:rPr>
          <w:rFonts w:hint="cs"/>
          <w:rtl/>
          <w:lang w:bidi="fa-IR"/>
        </w:rPr>
        <w:t xml:space="preserve"> که یک شر</w:t>
      </w:r>
      <w:r w:rsidR="00DF6D13">
        <w:rPr>
          <w:rFonts w:hint="cs"/>
          <w:rtl/>
          <w:lang w:bidi="fa-IR"/>
        </w:rPr>
        <w:t>کت گرجستانی بود، قراردادی منعقد کرده بودند</w:t>
      </w:r>
      <w:r>
        <w:rPr>
          <w:rFonts w:hint="cs"/>
          <w:rtl/>
          <w:lang w:bidi="fa-IR"/>
        </w:rPr>
        <w:t xml:space="preserve">. اختلافات بیشتر از تفسیر قیمت بازار جهانی، ادعای خوردگی کالاها و ادعای پوسته پوسته شدن پوشش رویی سیم، به وجود آمد. </w:t>
      </w:r>
      <w:r>
        <w:rPr>
          <w:rtl/>
          <w:lang w:bidi="fa-IR"/>
        </w:rPr>
        <w:t>لامینرز</w:t>
      </w:r>
      <w:r>
        <w:rPr>
          <w:rFonts w:hint="cs"/>
          <w:rtl/>
          <w:lang w:bidi="fa-IR"/>
        </w:rPr>
        <w:t xml:space="preserve"> اختلاف را بر طبق شرط رجوع به داوری به داوری ارجاع داد. داوری مقرر داشت که </w:t>
      </w:r>
      <w:r w:rsidR="00DF6D13">
        <w:rPr>
          <w:rtl/>
          <w:lang w:bidi="fa-IR"/>
        </w:rPr>
        <w:t>سو</w:t>
      </w:r>
      <w:r w:rsidR="00DF6D13">
        <w:rPr>
          <w:rFonts w:hint="cs"/>
          <w:rtl/>
          <w:lang w:bidi="fa-IR"/>
        </w:rPr>
        <w:t>ت</w:t>
      </w:r>
      <w:r>
        <w:rPr>
          <w:rtl/>
          <w:lang w:bidi="fa-IR"/>
        </w:rPr>
        <w:t>‌وایر</w:t>
      </w:r>
      <w:r>
        <w:rPr>
          <w:rFonts w:hint="cs"/>
          <w:rtl/>
          <w:lang w:bidi="fa-IR"/>
        </w:rPr>
        <w:t xml:space="preserve"> به </w:t>
      </w:r>
      <w:r>
        <w:rPr>
          <w:rtl/>
          <w:lang w:bidi="fa-IR"/>
        </w:rPr>
        <w:t>لامینرز</w:t>
      </w:r>
      <w:r>
        <w:rPr>
          <w:rFonts w:hint="cs"/>
          <w:rtl/>
          <w:lang w:bidi="fa-IR"/>
        </w:rPr>
        <w:t xml:space="preserve"> برای قیمت بالاتر بازار جهانی به علاوه سود بدهی بر طبق نرخ سود قانونی فرانسه، مدیون می‌باشد. </w:t>
      </w:r>
    </w:p>
    <w:p w:rsidR="003602AD" w:rsidRDefault="003602AD" w:rsidP="00FB1624">
      <w:pPr>
        <w:bidi/>
        <w:ind w:firstLine="360"/>
        <w:jc w:val="mediumKashida"/>
        <w:rPr>
          <w:rtl/>
          <w:lang w:bidi="fa-IR"/>
        </w:rPr>
      </w:pPr>
      <w:r>
        <w:rPr>
          <w:rFonts w:hint="cs"/>
          <w:rtl/>
          <w:lang w:bidi="fa-IR"/>
        </w:rPr>
        <w:t xml:space="preserve">زمانی که </w:t>
      </w:r>
      <w:r>
        <w:rPr>
          <w:rtl/>
          <w:lang w:bidi="fa-IR"/>
        </w:rPr>
        <w:t>لامینرز</w:t>
      </w:r>
      <w:r>
        <w:rPr>
          <w:rFonts w:hint="cs"/>
          <w:rtl/>
          <w:lang w:bidi="fa-IR"/>
        </w:rPr>
        <w:t xml:space="preserve"> در تلاش برای اجرای رأی بود، </w:t>
      </w:r>
      <w:r w:rsidR="00DF6D13">
        <w:rPr>
          <w:rtl/>
          <w:lang w:bidi="fa-IR"/>
        </w:rPr>
        <w:t>سو</w:t>
      </w:r>
      <w:r w:rsidR="00DF6D13">
        <w:rPr>
          <w:rFonts w:hint="cs"/>
          <w:rtl/>
          <w:lang w:bidi="fa-IR"/>
        </w:rPr>
        <w:t>ت‌</w:t>
      </w:r>
      <w:r>
        <w:rPr>
          <w:rtl/>
          <w:lang w:bidi="fa-IR"/>
        </w:rPr>
        <w:t>وایر</w:t>
      </w:r>
      <w:r>
        <w:rPr>
          <w:rFonts w:hint="cs"/>
          <w:rtl/>
          <w:lang w:bidi="fa-IR"/>
        </w:rPr>
        <w:t xml:space="preserve"> استدلال کرد که نرخ بهره فرانسه</w:t>
      </w:r>
      <w:r w:rsidR="00DF6D13">
        <w:rPr>
          <w:rFonts w:hint="cs"/>
          <w:rtl/>
          <w:lang w:bidi="fa-IR"/>
        </w:rPr>
        <w:t>،</w:t>
      </w:r>
      <w:r>
        <w:rPr>
          <w:rFonts w:hint="cs"/>
          <w:rtl/>
          <w:lang w:bidi="fa-IR"/>
        </w:rPr>
        <w:t xml:space="preserve"> نظم عمومی دادگاه محل اجرا را نقض کرده، به این دلیل که مبنی بر رباخواری </w:t>
      </w:r>
      <w:r w:rsidR="00DF6D13">
        <w:rPr>
          <w:rFonts w:hint="cs"/>
          <w:rtl/>
          <w:lang w:bidi="fa-IR"/>
        </w:rPr>
        <w:t>می‌باش</w:t>
      </w:r>
      <w:r>
        <w:rPr>
          <w:rFonts w:hint="cs"/>
          <w:rtl/>
          <w:lang w:bidi="fa-IR"/>
        </w:rPr>
        <w:t>د. اگر چه نرخ بهره فرانسه بالاتر از گرجستان بود، نرخ بهره آن قدر بالاتر نبوده که نقض اساسی‌ترین مفاهیم اخلاق و عدالت کشور محل اجرا را موجب شود. بنابراین اعمال نرخ بهره فرانسه مخالف با نظم عمومی نبود. با این حا</w:t>
      </w:r>
      <w:r w:rsidR="00FB1624">
        <w:rPr>
          <w:rFonts w:hint="cs"/>
          <w:rtl/>
          <w:lang w:bidi="fa-IR"/>
        </w:rPr>
        <w:t>ل، دادگاه بیشتر در پرونده پیش رف</w:t>
      </w:r>
      <w:r>
        <w:rPr>
          <w:rFonts w:hint="cs"/>
          <w:rtl/>
          <w:lang w:bidi="fa-IR"/>
        </w:rPr>
        <w:t>ت و تجزیه و تحلیل کرد که نرخ سود 5 درصد در سال یک افزایش اضافی است. دادگاه خاطر نشا</w:t>
      </w:r>
      <w:r w:rsidR="00FB1624">
        <w:rPr>
          <w:rFonts w:hint="cs"/>
          <w:rtl/>
          <w:lang w:bidi="fa-IR"/>
        </w:rPr>
        <w:t>ن ساخت که هدف از بهره این است؛</w:t>
      </w:r>
      <w:r>
        <w:rPr>
          <w:rFonts w:hint="cs"/>
          <w:rtl/>
          <w:lang w:bidi="fa-IR"/>
        </w:rPr>
        <w:t xml:space="preserve"> کسی که از استفاده از پول خود</w:t>
      </w:r>
      <w:r w:rsidR="00FB1624">
        <w:rPr>
          <w:rFonts w:hint="cs"/>
          <w:rtl/>
          <w:lang w:bidi="fa-IR"/>
        </w:rPr>
        <w:t xml:space="preserve"> محروم شده</w:t>
      </w:r>
      <w:r>
        <w:rPr>
          <w:rFonts w:hint="cs"/>
          <w:rtl/>
          <w:lang w:bidi="fa-IR"/>
        </w:rPr>
        <w:t xml:space="preserve">، بهره‌مند گردد به جای جریمه کردن متخلف. بر طبق نظم عمومی گرجستان، </w:t>
      </w:r>
      <w:r>
        <w:rPr>
          <w:rFonts w:cs="Times New Roman" w:hint="cs"/>
          <w:rtl/>
          <w:lang w:bidi="fa-IR"/>
        </w:rPr>
        <w:t>"</w:t>
      </w:r>
      <w:r>
        <w:rPr>
          <w:rFonts w:hint="cs"/>
          <w:rtl/>
          <w:lang w:bidi="fa-IR"/>
        </w:rPr>
        <w:t>قانون خارجی اجرا نخواهد شد</w:t>
      </w:r>
      <w:r w:rsidR="00FB1624">
        <w:rPr>
          <w:rFonts w:hint="cs"/>
          <w:rtl/>
          <w:lang w:bidi="fa-IR"/>
        </w:rPr>
        <w:t>،</w:t>
      </w:r>
      <w:r>
        <w:rPr>
          <w:rFonts w:hint="cs"/>
          <w:rtl/>
          <w:lang w:bidi="fa-IR"/>
        </w:rPr>
        <w:t xml:space="preserve"> اگر آن قانون صرفاً کیفری باشد و مربوط باشد به مجازات جرایم عمومی تا جایی که متمایز گردد از جبران خسارت خسارت‌های خصوصی.</w:t>
      </w:r>
      <w:r>
        <w:rPr>
          <w:rFonts w:cs="Times New Roman" w:hint="cs"/>
          <w:rtl/>
          <w:lang w:bidi="fa-IR"/>
        </w:rPr>
        <w:t xml:space="preserve">" </w:t>
      </w:r>
      <w:r>
        <w:rPr>
          <w:rFonts w:hint="cs"/>
          <w:rtl/>
          <w:lang w:bidi="fa-IR"/>
        </w:rPr>
        <w:t xml:space="preserve">بنابراین بهره 5 درصد مخالف با نظم </w:t>
      </w:r>
      <w:r>
        <w:rPr>
          <w:rFonts w:hint="cs"/>
          <w:rtl/>
          <w:lang w:bidi="fa-IR"/>
        </w:rPr>
        <w:lastRenderedPageBreak/>
        <w:t xml:space="preserve">عمومی بود، به دلیل این </w:t>
      </w:r>
      <w:r w:rsidR="00FB1624">
        <w:rPr>
          <w:rFonts w:hint="cs"/>
          <w:rtl/>
          <w:lang w:bidi="fa-IR"/>
        </w:rPr>
        <w:t>که بهره به طور معقول</w:t>
      </w:r>
      <w:r>
        <w:rPr>
          <w:rFonts w:hint="cs"/>
          <w:rtl/>
          <w:lang w:bidi="fa-IR"/>
        </w:rPr>
        <w:t xml:space="preserve"> به خسارت </w:t>
      </w:r>
      <w:r>
        <w:rPr>
          <w:rtl/>
          <w:lang w:bidi="fa-IR"/>
        </w:rPr>
        <w:t>لامینرز</w:t>
      </w:r>
      <w:r>
        <w:rPr>
          <w:rFonts w:hint="cs"/>
          <w:rtl/>
          <w:lang w:bidi="fa-IR"/>
        </w:rPr>
        <w:t xml:space="preserve"> به دلیل </w:t>
      </w:r>
      <w:r w:rsidR="00FB1624">
        <w:rPr>
          <w:rFonts w:hint="cs"/>
          <w:rtl/>
          <w:lang w:bidi="fa-IR"/>
        </w:rPr>
        <w:t>تأخیر در دریافت مبالغ مقرر شده، وابسته نبود.</w:t>
      </w:r>
      <w:r>
        <w:rPr>
          <w:rFonts w:hint="cs"/>
          <w:rtl/>
          <w:lang w:bidi="fa-IR"/>
        </w:rPr>
        <w:t xml:space="preserve"> حال آن که دادگاه رأی را تا کاربرد نرخ بهره فرانسه اجرا کرد، اما اجرای بهره 5 درصد را رد کرد. بنابراین دادگاه آمریکایی معیار نظم عمومی را با برخی محدودیت‌ها پذیرفت. </w:t>
      </w:r>
    </w:p>
    <w:p w:rsidR="00FB1624" w:rsidRDefault="003602AD" w:rsidP="00FB1624">
      <w:pPr>
        <w:bidi/>
        <w:ind w:firstLine="360"/>
        <w:jc w:val="mediumKashida"/>
        <w:rPr>
          <w:rtl/>
          <w:lang w:bidi="fa-IR"/>
        </w:rPr>
      </w:pPr>
      <w:r>
        <w:rPr>
          <w:rFonts w:hint="cs"/>
          <w:rtl/>
          <w:lang w:bidi="fa-IR"/>
        </w:rPr>
        <w:t xml:space="preserve">از سوی دیگر، دادگاه‌های انگلیسی موافقت بیشتری با معیار </w:t>
      </w:r>
      <w:r w:rsidR="00FB1624">
        <w:rPr>
          <w:rFonts w:hint="cs"/>
          <w:rtl/>
          <w:lang w:bidi="fa-IR"/>
        </w:rPr>
        <w:t xml:space="preserve">نظم عمومی داشته‌اند. در پرونده </w:t>
      </w:r>
      <w:r>
        <w:rPr>
          <w:rFonts w:hint="cs"/>
          <w:rtl/>
          <w:lang w:bidi="fa-IR"/>
        </w:rPr>
        <w:t>سلیمانی علیه سلیمانی، دادگاه استیناف انگلستان و ول</w:t>
      </w:r>
      <w:r w:rsidR="00FB1624">
        <w:rPr>
          <w:rFonts w:hint="cs"/>
          <w:rtl/>
          <w:lang w:bidi="fa-IR"/>
        </w:rPr>
        <w:t>ز، استدلال مربوط به نظم عمومی</w:t>
      </w:r>
      <w:r>
        <w:rPr>
          <w:rFonts w:hint="cs"/>
          <w:rtl/>
          <w:lang w:bidi="fa-IR"/>
        </w:rPr>
        <w:t xml:space="preserve"> از جانب طرفی که با اجرا مخالفت داشت را پذیرفت و از اجرای رأی داوری خودداری کرد.</w:t>
      </w:r>
      <w:r>
        <w:rPr>
          <w:rStyle w:val="FootnoteReference"/>
          <w:rtl/>
          <w:lang w:bidi="fa-IR"/>
        </w:rPr>
        <w:footnoteReference w:id="277"/>
      </w:r>
    </w:p>
    <w:p w:rsidR="003602AD" w:rsidRDefault="003602AD" w:rsidP="002A7CAC">
      <w:pPr>
        <w:bidi/>
        <w:ind w:firstLine="360"/>
        <w:jc w:val="mediumKashida"/>
        <w:rPr>
          <w:rtl/>
          <w:lang w:bidi="fa-IR"/>
        </w:rPr>
      </w:pPr>
      <w:r>
        <w:rPr>
          <w:rtl/>
          <w:lang w:bidi="fa-IR"/>
        </w:rPr>
        <w:t>صهیون</w:t>
      </w:r>
      <w:r>
        <w:rPr>
          <w:lang w:bidi="fa-IR"/>
        </w:rPr>
        <w:t xml:space="preserve"> </w:t>
      </w:r>
      <w:r>
        <w:rPr>
          <w:rtl/>
          <w:lang w:bidi="fa-IR"/>
        </w:rPr>
        <w:t>سلیمانی</w:t>
      </w:r>
      <w:r>
        <w:rPr>
          <w:rFonts w:hint="cs"/>
          <w:rtl/>
          <w:lang w:bidi="fa-IR"/>
        </w:rPr>
        <w:t xml:space="preserve"> درخواست کرد از پسرش </w:t>
      </w:r>
      <w:r>
        <w:rPr>
          <w:rtl/>
          <w:lang w:bidi="fa-IR"/>
        </w:rPr>
        <w:t>آبنر</w:t>
      </w:r>
      <w:r>
        <w:rPr>
          <w:lang w:bidi="fa-IR"/>
        </w:rPr>
        <w:t xml:space="preserve"> </w:t>
      </w:r>
      <w:r>
        <w:rPr>
          <w:rtl/>
          <w:lang w:bidi="fa-IR"/>
        </w:rPr>
        <w:t>سلیمانی</w:t>
      </w:r>
      <w:r>
        <w:rPr>
          <w:rFonts w:hint="cs"/>
          <w:rtl/>
          <w:lang w:bidi="fa-IR"/>
        </w:rPr>
        <w:t xml:space="preserve"> برای وصول برخی فرش‌هایی که توسط </w:t>
      </w:r>
      <w:r w:rsidR="002A7CAC">
        <w:rPr>
          <w:rFonts w:hint="cs"/>
          <w:rtl/>
          <w:lang w:bidi="fa-IR"/>
        </w:rPr>
        <w:t>مقامات گمرک</w:t>
      </w:r>
      <w:r>
        <w:rPr>
          <w:rFonts w:hint="cs"/>
          <w:rtl/>
          <w:lang w:bidi="fa-IR"/>
        </w:rPr>
        <w:t xml:space="preserve"> ایران توقیف شده </w:t>
      </w:r>
      <w:r w:rsidR="00FB1624">
        <w:rPr>
          <w:rFonts w:hint="cs"/>
          <w:rtl/>
          <w:lang w:bidi="fa-IR"/>
        </w:rPr>
        <w:t>بود، به ایران مراجعت کند.</w:t>
      </w:r>
      <w:r>
        <w:rPr>
          <w:rFonts w:hint="cs"/>
          <w:rtl/>
          <w:lang w:bidi="fa-IR"/>
        </w:rPr>
        <w:t xml:space="preserve"> پس از این که </w:t>
      </w:r>
      <w:r>
        <w:rPr>
          <w:rtl/>
          <w:lang w:bidi="fa-IR"/>
        </w:rPr>
        <w:t>آبنر</w:t>
      </w:r>
      <w:r>
        <w:rPr>
          <w:rFonts w:hint="cs"/>
          <w:rtl/>
          <w:lang w:bidi="fa-IR"/>
        </w:rPr>
        <w:t xml:space="preserve"> دریافت که او می‌تواند از صادرات فرشهای ایرانی </w:t>
      </w:r>
      <w:r w:rsidR="002A7CAC">
        <w:rPr>
          <w:rFonts w:hint="cs"/>
          <w:rtl/>
          <w:lang w:bidi="fa-IR"/>
        </w:rPr>
        <w:t xml:space="preserve">و </w:t>
      </w:r>
      <w:r>
        <w:rPr>
          <w:rFonts w:hint="cs"/>
          <w:rtl/>
          <w:lang w:bidi="fa-IR"/>
        </w:rPr>
        <w:t>فروش</w:t>
      </w:r>
      <w:r w:rsidR="002A7CAC">
        <w:rPr>
          <w:rFonts w:hint="cs"/>
          <w:rtl/>
          <w:lang w:bidi="fa-IR"/>
        </w:rPr>
        <w:t xml:space="preserve"> آن</w:t>
      </w:r>
      <w:r>
        <w:rPr>
          <w:rFonts w:hint="cs"/>
          <w:rtl/>
          <w:lang w:bidi="fa-IR"/>
        </w:rPr>
        <w:t xml:space="preserve"> در انگلستان</w:t>
      </w:r>
      <w:r w:rsidR="002A7CAC">
        <w:rPr>
          <w:rFonts w:hint="cs"/>
          <w:rtl/>
          <w:lang w:bidi="fa-IR"/>
        </w:rPr>
        <w:t xml:space="preserve"> کسب منفعت کند،</w:t>
      </w:r>
      <w:r>
        <w:rPr>
          <w:rFonts w:hint="cs"/>
          <w:rtl/>
          <w:lang w:bidi="fa-IR"/>
        </w:rPr>
        <w:t xml:space="preserve"> قول و قراری با </w:t>
      </w:r>
      <w:r>
        <w:rPr>
          <w:rtl/>
          <w:lang w:bidi="fa-IR"/>
        </w:rPr>
        <w:t>صهیون</w:t>
      </w:r>
      <w:r>
        <w:rPr>
          <w:rFonts w:hint="cs"/>
          <w:rtl/>
          <w:lang w:bidi="fa-IR"/>
        </w:rPr>
        <w:t xml:space="preserve"> گذاشت مبنی بر این که سود حاصله را تقسیم کنند. صادرات این فرش‌ها قاچاق کالا محسوب </w:t>
      </w:r>
      <w:r w:rsidR="002A7CAC">
        <w:rPr>
          <w:rFonts w:hint="cs"/>
          <w:rtl/>
          <w:lang w:bidi="fa-IR"/>
        </w:rPr>
        <w:t>می‌</w:t>
      </w:r>
      <w:r>
        <w:rPr>
          <w:rFonts w:hint="cs"/>
          <w:rtl/>
          <w:lang w:bidi="fa-IR"/>
        </w:rPr>
        <w:t>شد به دلیل این که از قوانین مربوط به کنترل صادرات و درآمد ایران تخطی کرد</w:t>
      </w:r>
      <w:r w:rsidR="002A7CAC">
        <w:rPr>
          <w:rFonts w:hint="cs"/>
          <w:rtl/>
          <w:lang w:bidi="fa-IR"/>
        </w:rPr>
        <w:t>ه بود</w:t>
      </w:r>
      <w:r>
        <w:rPr>
          <w:rFonts w:hint="cs"/>
          <w:rtl/>
          <w:lang w:bidi="fa-IR"/>
        </w:rPr>
        <w:t xml:space="preserve">. در نهایت میان </w:t>
      </w:r>
      <w:r>
        <w:rPr>
          <w:rtl/>
          <w:lang w:bidi="fa-IR"/>
        </w:rPr>
        <w:t>صهیون</w:t>
      </w:r>
      <w:r>
        <w:rPr>
          <w:rFonts w:hint="cs"/>
          <w:rtl/>
          <w:lang w:bidi="fa-IR"/>
        </w:rPr>
        <w:t xml:space="preserve"> و </w:t>
      </w:r>
      <w:r>
        <w:rPr>
          <w:rtl/>
          <w:lang w:bidi="fa-IR"/>
        </w:rPr>
        <w:t>آبنر</w:t>
      </w:r>
      <w:r>
        <w:rPr>
          <w:rFonts w:hint="cs"/>
          <w:rtl/>
          <w:lang w:bidi="fa-IR"/>
        </w:rPr>
        <w:t xml:space="preserve"> بر سر تقسیم منافع اختلاف به وجود آمد. در نتیجه آن‌ها توافق کردند داوری اختلافشان را نزد یک دادگاه یهودی ببرند و قانون یهودیت حاکم بر داوری باشد. متعاقباً رأی داوری به نفع </w:t>
      </w:r>
      <w:r>
        <w:rPr>
          <w:rtl/>
          <w:lang w:bidi="fa-IR"/>
        </w:rPr>
        <w:t>آبنر</w:t>
      </w:r>
      <w:r>
        <w:rPr>
          <w:rFonts w:hint="cs"/>
          <w:rtl/>
          <w:lang w:bidi="fa-IR"/>
        </w:rPr>
        <w:t xml:space="preserve"> صادر شد، او مبادرت به اجرای رأی در انگلستان کرد.</w:t>
      </w:r>
    </w:p>
    <w:p w:rsidR="009E32D4" w:rsidRDefault="003602AD" w:rsidP="00814CE2">
      <w:pPr>
        <w:bidi/>
        <w:ind w:firstLine="360"/>
        <w:jc w:val="mediumKashida"/>
        <w:rPr>
          <w:rtl/>
          <w:lang w:bidi="fa-IR"/>
        </w:rPr>
      </w:pPr>
      <w:r>
        <w:rPr>
          <w:rtl/>
          <w:lang w:bidi="fa-IR"/>
        </w:rPr>
        <w:t>صهیون</w:t>
      </w:r>
      <w:r>
        <w:rPr>
          <w:rFonts w:hint="cs"/>
          <w:rtl/>
          <w:lang w:bidi="fa-IR"/>
        </w:rPr>
        <w:t xml:space="preserve"> با اجرای رأی مخالفت کرد با ای</w:t>
      </w:r>
      <w:r w:rsidR="002A7CAC">
        <w:rPr>
          <w:rFonts w:hint="cs"/>
          <w:rtl/>
          <w:lang w:bidi="fa-IR"/>
        </w:rPr>
        <w:t>ن استدلال که آن رأی در تعارض</w:t>
      </w:r>
      <w:r>
        <w:rPr>
          <w:rFonts w:hint="cs"/>
          <w:rtl/>
          <w:lang w:bidi="fa-IR"/>
        </w:rPr>
        <w:t xml:space="preserve"> با نظم عمومی انگلستان در زمینه اجرای رأی ناشی از یک قرارداد غیر قانونی</w:t>
      </w:r>
      <w:r w:rsidR="002A7CAC">
        <w:rPr>
          <w:rFonts w:hint="cs"/>
          <w:rtl/>
          <w:lang w:bidi="fa-IR"/>
        </w:rPr>
        <w:t xml:space="preserve"> است</w:t>
      </w:r>
      <w:r>
        <w:rPr>
          <w:rFonts w:hint="cs"/>
          <w:rtl/>
          <w:lang w:bidi="fa-IR"/>
        </w:rPr>
        <w:t xml:space="preserve">. دادگاه </w:t>
      </w:r>
      <w:r>
        <w:rPr>
          <w:rFonts w:hint="cs"/>
          <w:rtl/>
          <w:lang w:bidi="fa-IR"/>
        </w:rPr>
        <w:lastRenderedPageBreak/>
        <w:t>استیناف انگلستان و ولز نخست دکترین تفکیک را مورد بحث قرار داد: نه همه قراردادهای غیر قانونی موافقت‌نامه داوری را</w:t>
      </w:r>
      <w:r w:rsidR="002A7CAC">
        <w:rPr>
          <w:rFonts w:hint="cs"/>
          <w:rtl/>
          <w:lang w:bidi="fa-IR"/>
        </w:rPr>
        <w:t xml:space="preserve"> باطل خواهد کرد</w:t>
      </w:r>
      <w:r>
        <w:rPr>
          <w:rFonts w:hint="cs"/>
          <w:rtl/>
          <w:lang w:bidi="fa-IR"/>
        </w:rPr>
        <w:t xml:space="preserve">، و نه همه موافقت‌نامه‌های داوری بدون در نظر گرفتن اعتبار قرارداد اصلی معتبر می‌باشد. سپس دادگاه بیان کرد که </w:t>
      </w:r>
      <w:r>
        <w:rPr>
          <w:rFonts w:cs="Times New Roman" w:hint="cs"/>
          <w:rtl/>
          <w:lang w:bidi="fa-IR"/>
        </w:rPr>
        <w:t>"</w:t>
      </w:r>
      <w:r>
        <w:rPr>
          <w:rFonts w:hint="cs"/>
          <w:rtl/>
          <w:lang w:bidi="fa-IR"/>
        </w:rPr>
        <w:t xml:space="preserve">برخلاف نظم عمومی است که یک رأی انگلیسی به اجرا دربیاید، </w:t>
      </w:r>
      <w:r w:rsidR="009F55BD">
        <w:rPr>
          <w:rFonts w:hint="cs"/>
          <w:rtl/>
          <w:lang w:bidi="fa-IR"/>
        </w:rPr>
        <w:t>چنانچه آن رأی</w:t>
      </w:r>
      <w:r>
        <w:rPr>
          <w:rFonts w:hint="cs"/>
          <w:rtl/>
          <w:lang w:bidi="fa-IR"/>
        </w:rPr>
        <w:t xml:space="preserve"> مبتنی باشد بر  قراداد انگلیسی که غیر قانونی بوده است.</w:t>
      </w:r>
      <w:r>
        <w:rPr>
          <w:rFonts w:cs="Times New Roman" w:hint="cs"/>
          <w:rtl/>
          <w:lang w:bidi="fa-IR"/>
        </w:rPr>
        <w:t xml:space="preserve">" </w:t>
      </w:r>
      <w:r>
        <w:rPr>
          <w:rFonts w:hint="cs"/>
          <w:rtl/>
          <w:lang w:bidi="fa-IR"/>
        </w:rPr>
        <w:t xml:space="preserve">دادگاه بیان داشت که نظم عمومی به طرفین اجازه نخواهد داد، با استفاده از داوری به منظور مخفی کردن قرارداد غیر قانونی خود، </w:t>
      </w:r>
      <w:r w:rsidRPr="00426241">
        <w:rPr>
          <w:rFonts w:hint="cs"/>
          <w:rtl/>
          <w:lang w:bidi="fa-IR"/>
        </w:rPr>
        <w:t>فرآیند</w:t>
      </w:r>
      <w:r w:rsidRPr="00426241">
        <w:rPr>
          <w:rtl/>
          <w:lang w:bidi="fa-IR"/>
        </w:rPr>
        <w:t xml:space="preserve"> </w:t>
      </w:r>
      <w:r w:rsidRPr="00426241">
        <w:rPr>
          <w:rFonts w:hint="cs"/>
          <w:rtl/>
          <w:lang w:bidi="fa-IR"/>
        </w:rPr>
        <w:t>دادرسی</w:t>
      </w:r>
      <w:r w:rsidRPr="00426241">
        <w:rPr>
          <w:rtl/>
          <w:lang w:bidi="fa-IR"/>
        </w:rPr>
        <w:t xml:space="preserve"> </w:t>
      </w:r>
      <w:r w:rsidRPr="00426241">
        <w:rPr>
          <w:rFonts w:hint="cs"/>
          <w:rtl/>
          <w:lang w:bidi="fa-IR"/>
        </w:rPr>
        <w:t>را</w:t>
      </w:r>
      <w:r w:rsidRPr="00426241">
        <w:rPr>
          <w:rtl/>
          <w:lang w:bidi="fa-IR"/>
        </w:rPr>
        <w:t xml:space="preserve"> </w:t>
      </w:r>
      <w:r w:rsidRPr="00426241">
        <w:rPr>
          <w:rFonts w:hint="cs"/>
          <w:rtl/>
          <w:lang w:bidi="fa-IR"/>
        </w:rPr>
        <w:t>نادیده</w:t>
      </w:r>
      <w:r w:rsidRPr="00426241">
        <w:rPr>
          <w:rtl/>
          <w:lang w:bidi="fa-IR"/>
        </w:rPr>
        <w:t xml:space="preserve"> </w:t>
      </w:r>
      <w:r w:rsidRPr="00426241">
        <w:rPr>
          <w:rFonts w:hint="cs"/>
          <w:rtl/>
          <w:lang w:bidi="fa-IR"/>
        </w:rPr>
        <w:t>بگیرند</w:t>
      </w:r>
      <w:r>
        <w:rPr>
          <w:rFonts w:hint="cs"/>
          <w:rtl/>
          <w:lang w:bidi="fa-IR"/>
        </w:rPr>
        <w:t>. هم دادگاه و هم شعبه داوری در این پرونده اتفاق نظر داشتند بر سر این موضوع که قرارداد به طور آشکار و رسوایی غیر قانونی بود</w:t>
      </w:r>
      <w:r w:rsidR="009F55BD">
        <w:rPr>
          <w:rFonts w:hint="cs"/>
          <w:rtl/>
          <w:lang w:bidi="fa-IR"/>
        </w:rPr>
        <w:t>ه است</w:t>
      </w:r>
      <w:r>
        <w:rPr>
          <w:rFonts w:hint="cs"/>
          <w:rtl/>
          <w:lang w:bidi="fa-IR"/>
        </w:rPr>
        <w:t>. بر این اساس، دادگاه تحت عنوان مخالفت رأی با نظم عمومی از اجرای آن خودداری کرد.</w:t>
      </w:r>
    </w:p>
    <w:p w:rsidR="00E2082E" w:rsidRDefault="00E2082E" w:rsidP="004C2DA3">
      <w:pPr>
        <w:pStyle w:val="Heading2"/>
        <w:bidi/>
        <w:ind w:firstLine="360"/>
        <w:rPr>
          <w:rtl/>
        </w:rPr>
      </w:pPr>
      <w:bookmarkStart w:id="38" w:name="_Toc397212665"/>
      <w:r>
        <w:rPr>
          <w:rFonts w:hint="cs"/>
          <w:rtl/>
        </w:rPr>
        <w:t>نتیجه‌گیری</w:t>
      </w:r>
      <w:bookmarkEnd w:id="38"/>
    </w:p>
    <w:p w:rsidR="00BF398F" w:rsidRPr="00BF398F" w:rsidRDefault="00BF398F" w:rsidP="00114A4B">
      <w:pPr>
        <w:bidi/>
        <w:jc w:val="mediumKashida"/>
        <w:rPr>
          <w:rtl/>
        </w:rPr>
      </w:pPr>
    </w:p>
    <w:p w:rsidR="00292251" w:rsidRDefault="00940552" w:rsidP="00367922">
      <w:pPr>
        <w:bidi/>
        <w:ind w:firstLine="360"/>
        <w:jc w:val="mediumKashida"/>
        <w:rPr>
          <w:rtl/>
        </w:rPr>
      </w:pPr>
      <w:r>
        <w:rPr>
          <w:rFonts w:hint="cs"/>
          <w:rtl/>
        </w:rPr>
        <w:t>نظم عم</w:t>
      </w:r>
      <w:r w:rsidR="00292251">
        <w:rPr>
          <w:rFonts w:hint="cs"/>
          <w:rtl/>
        </w:rPr>
        <w:t>ومی</w:t>
      </w:r>
      <w:r w:rsidR="00393B62">
        <w:rPr>
          <w:rFonts w:hint="cs"/>
          <w:rtl/>
          <w:lang w:bidi="fa-IR"/>
        </w:rPr>
        <w:t xml:space="preserve"> را می‌توان مهم‌ترین معیار و مانع بر سر راه اجرای احکام داوری تجاری بین‌المللی دانست که</w:t>
      </w:r>
      <w:r w:rsidR="00292251">
        <w:rPr>
          <w:rFonts w:hint="cs"/>
          <w:rtl/>
        </w:rPr>
        <w:t xml:space="preserve"> با هدف حفظ ملاحظات اجتماعی،</w:t>
      </w:r>
      <w:r>
        <w:rPr>
          <w:rFonts w:hint="cs"/>
          <w:rtl/>
        </w:rPr>
        <w:t xml:space="preserve"> منافع عمومی و نظام</w:t>
      </w:r>
      <w:r w:rsidR="00114A4B">
        <w:rPr>
          <w:rFonts w:hint="cs"/>
          <w:rtl/>
        </w:rPr>
        <w:t xml:space="preserve"> حاکمیتی هر کشوری شکل گرفته است و</w:t>
      </w:r>
      <w:r w:rsidR="00292251" w:rsidRPr="00292251">
        <w:rPr>
          <w:rFonts w:hint="cs"/>
          <w:rtl/>
        </w:rPr>
        <w:t xml:space="preserve"> از روح قوانین یک کشور قابل استن</w:t>
      </w:r>
      <w:r w:rsidR="00292251">
        <w:rPr>
          <w:rFonts w:hint="cs"/>
          <w:rtl/>
        </w:rPr>
        <w:t>باط می‌باشد.</w:t>
      </w:r>
      <w:r w:rsidR="00292251" w:rsidRPr="00292251">
        <w:rPr>
          <w:rFonts w:hint="cs"/>
          <w:rtl/>
        </w:rPr>
        <w:t xml:space="preserve"> به عبارت بهتر نظم عمومی هم پایه‌گذار تقنین و هم نتیجه و خروجی آن است. </w:t>
      </w:r>
      <w:r w:rsidR="00573BE8">
        <w:rPr>
          <w:rFonts w:hint="cs"/>
          <w:rtl/>
        </w:rPr>
        <w:t>در تمام نظریه‌های ارائه شده در مورد مفهوم نظم عمومی، بر سر یک چیز وحدت نظر وجود دارد و آن ارتباط نظم عمومی با منافع عالی و مصالح بنیادین جامعه است.</w:t>
      </w:r>
    </w:p>
    <w:p w:rsidR="00610052" w:rsidRDefault="00BF398F" w:rsidP="00C8499C">
      <w:pPr>
        <w:bidi/>
        <w:ind w:firstLine="720"/>
        <w:jc w:val="mediumKashida"/>
        <w:rPr>
          <w:rtl/>
        </w:rPr>
      </w:pPr>
      <w:r>
        <w:rPr>
          <w:rFonts w:hint="cs"/>
          <w:rtl/>
        </w:rPr>
        <w:t>مبانی نظم عمومی بین‌المللی</w:t>
      </w:r>
      <w:r w:rsidR="003C3A71">
        <w:rPr>
          <w:rFonts w:hint="cs"/>
          <w:rtl/>
        </w:rPr>
        <w:t xml:space="preserve"> در داوری تجاری بین‌المللی شامل؛</w:t>
      </w:r>
      <w:r>
        <w:rPr>
          <w:rFonts w:hint="cs"/>
          <w:rtl/>
        </w:rPr>
        <w:t xml:space="preserve"> اصول بنیادین، قواعد نظم عمومی و تعهدات بین‌المللی می‌باشد</w:t>
      </w:r>
      <w:r w:rsidR="00610052">
        <w:rPr>
          <w:rFonts w:hint="cs"/>
          <w:rtl/>
        </w:rPr>
        <w:t xml:space="preserve">. هر چند تعهدات بین‌المللی </w:t>
      </w:r>
      <w:r w:rsidR="00610052">
        <w:rPr>
          <w:rFonts w:hint="cs"/>
          <w:rtl/>
        </w:rPr>
        <w:lastRenderedPageBreak/>
        <w:t xml:space="preserve">و قواعد نظم عمومی، هر دو در نهایت به اصول بنیادین </w:t>
      </w:r>
      <w:r w:rsidR="00114A4B">
        <w:rPr>
          <w:rFonts w:hint="cs"/>
          <w:rtl/>
        </w:rPr>
        <w:t>فرو کاسته می‌شوند. به عبارت دیگر</w:t>
      </w:r>
      <w:r w:rsidR="00610052">
        <w:rPr>
          <w:rFonts w:hint="cs"/>
          <w:rtl/>
        </w:rPr>
        <w:t xml:space="preserve"> همه‌ی مبانی نظم عمومی، در حقیقت چهره‌ای از اصول بنیادین می‌باشند.گستره نظم عمومی</w:t>
      </w:r>
      <w:r w:rsidR="00165BFF">
        <w:rPr>
          <w:rFonts w:hint="cs"/>
          <w:rtl/>
        </w:rPr>
        <w:t xml:space="preserve"> بین‌المللی</w:t>
      </w:r>
      <w:r w:rsidR="00610052">
        <w:rPr>
          <w:rFonts w:hint="cs"/>
          <w:rtl/>
        </w:rPr>
        <w:t xml:space="preserve"> در زمینه اجرای احکام داوری تجاری</w:t>
      </w:r>
      <w:r w:rsidR="00C57D76">
        <w:rPr>
          <w:rFonts w:hint="cs"/>
          <w:rtl/>
        </w:rPr>
        <w:t xml:space="preserve"> بین‌المللی دربردارنده</w:t>
      </w:r>
      <w:r w:rsidR="00610052">
        <w:rPr>
          <w:rFonts w:hint="cs"/>
          <w:rtl/>
        </w:rPr>
        <w:t xml:space="preserve"> </w:t>
      </w:r>
      <w:r w:rsidR="00165BFF">
        <w:rPr>
          <w:rFonts w:hint="cs"/>
          <w:rtl/>
        </w:rPr>
        <w:t>بنی</w:t>
      </w:r>
      <w:r w:rsidR="00C8499C">
        <w:rPr>
          <w:rFonts w:hint="cs"/>
          <w:rtl/>
        </w:rPr>
        <w:t>ادی‌ترین مفاهیم عدالت و اخلاق</w:t>
      </w:r>
      <w:r w:rsidR="00165BFF">
        <w:rPr>
          <w:rFonts w:hint="cs"/>
          <w:rtl/>
        </w:rPr>
        <w:t xml:space="preserve"> در</w:t>
      </w:r>
      <w:r w:rsidR="00C8499C">
        <w:rPr>
          <w:rFonts w:hint="cs"/>
          <w:rtl/>
        </w:rPr>
        <w:t xml:space="preserve"> بعد شکلی و ماهوی می‌باشد که</w:t>
      </w:r>
      <w:r w:rsidR="00C57D76">
        <w:rPr>
          <w:rFonts w:hint="cs"/>
          <w:rtl/>
        </w:rPr>
        <w:t xml:space="preserve"> ضمانت اجرایش</w:t>
      </w:r>
      <w:r w:rsidR="00C8499C">
        <w:rPr>
          <w:rFonts w:hint="cs"/>
          <w:rtl/>
        </w:rPr>
        <w:t xml:space="preserve"> نیز</w:t>
      </w:r>
      <w:r w:rsidR="00C57D76">
        <w:rPr>
          <w:rFonts w:hint="cs"/>
          <w:rtl/>
        </w:rPr>
        <w:t xml:space="preserve"> بی اعتباری جبران‌ناپذیر رأی داوری است</w:t>
      </w:r>
      <w:r w:rsidR="00C8499C">
        <w:rPr>
          <w:rFonts w:hint="cs"/>
          <w:rtl/>
        </w:rPr>
        <w:t>.</w:t>
      </w:r>
    </w:p>
    <w:p w:rsidR="00BB4D32" w:rsidRPr="00BB4D32" w:rsidRDefault="00BB4D32" w:rsidP="00BB4D32">
      <w:pPr>
        <w:bidi/>
        <w:ind w:firstLine="720"/>
        <w:jc w:val="mediumKashida"/>
        <w:rPr>
          <w:rtl/>
        </w:rPr>
      </w:pPr>
      <w:r w:rsidRPr="00BB4D32">
        <w:rPr>
          <w:rFonts w:hint="cs"/>
          <w:rtl/>
          <w:lang w:bidi="fa-IR"/>
        </w:rPr>
        <w:t>معیار نظم عمومی به عنوان مانع اجرای رأی داوری، به نوعی مؤید حق دادگاه‌های کشور محل اجرا در اعمال کنترل قضائی و نهایی بر روند داوری است. در این میان از یک سو تمایلی برای معطوف ساختن حاکمیت کشور نسبت به اجرای آرایی که منجر به نقض ارزش‌ها و قوانین داخلی می‌شوند، وجود ندارد. از سوی دیگر تمایل به احترام نسبت به قطعیت آرای خارجی قرار دارد. از این رو قانون‌گذار و دادگاه باید به هر طریق تعارض موجود را حل نمایند. در راستای رفع این دوگانگی، برخی از قانون‌گذاران و دادگاه‌ها بر آن شده‌اند که مفهوم مضیق نظم عمومی را نسبت به آرای خارجی اعمال کنند. مفهوم مضیق نظم عمومی غالباً تحت عنوان نظم عمومی بین‌المللی به کار می‌رود.</w:t>
      </w:r>
    </w:p>
    <w:p w:rsidR="00BB4D32" w:rsidRDefault="00BB4D32" w:rsidP="00BB4D32">
      <w:pPr>
        <w:bidi/>
        <w:ind w:firstLine="720"/>
        <w:jc w:val="mediumKashida"/>
      </w:pPr>
    </w:p>
    <w:p w:rsidR="00C57D76" w:rsidRDefault="00C57D76" w:rsidP="00C57D76">
      <w:pPr>
        <w:bidi/>
        <w:ind w:firstLine="720"/>
        <w:jc w:val="mediumKashida"/>
        <w:rPr>
          <w:rtl/>
          <w:lang w:bidi="fa-IR"/>
        </w:rPr>
      </w:pPr>
      <w:r w:rsidRPr="00C57D76">
        <w:rPr>
          <w:rFonts w:hint="cs"/>
          <w:rtl/>
          <w:lang w:bidi="fa-IR"/>
        </w:rPr>
        <w:t>در هیچ یک از کنوانسیون‌های بین‌المللی در زمینه اجرای احکام داوری و قانون نمونه آنسیترال، اشاره صریحی به نظم عمومی بین‌</w:t>
      </w:r>
      <w:r>
        <w:rPr>
          <w:rFonts w:hint="cs"/>
          <w:rtl/>
          <w:lang w:bidi="fa-IR"/>
        </w:rPr>
        <w:t>المللی</w:t>
      </w:r>
      <w:r w:rsidRPr="00C57D76">
        <w:rPr>
          <w:rFonts w:hint="cs"/>
          <w:rtl/>
          <w:lang w:bidi="fa-IR"/>
        </w:rPr>
        <w:t xml:space="preserve"> صورت نگرفته است</w:t>
      </w:r>
      <w:r>
        <w:rPr>
          <w:rFonts w:hint="cs"/>
          <w:rtl/>
          <w:lang w:bidi="fa-IR"/>
        </w:rPr>
        <w:t>.</w:t>
      </w:r>
      <w:r w:rsidRPr="00C57D76">
        <w:rPr>
          <w:rFonts w:hint="cs"/>
          <w:rtl/>
          <w:lang w:bidi="fa-IR"/>
        </w:rPr>
        <w:t xml:space="preserve"> </w:t>
      </w:r>
      <w:r>
        <w:rPr>
          <w:rFonts w:hint="cs"/>
          <w:rtl/>
          <w:lang w:bidi="fa-IR"/>
        </w:rPr>
        <w:t xml:space="preserve">قوانین مذکور </w:t>
      </w:r>
      <w:r w:rsidRPr="00C57D76">
        <w:rPr>
          <w:rFonts w:hint="cs"/>
          <w:rtl/>
          <w:lang w:bidi="fa-IR"/>
        </w:rPr>
        <w:t>به دنبال هماهنگ سازی معیار نظم عمومی با شناسایی و اجرا نبوده‌اند. صرفنظر از عبارت‌پردازی خاص قوانین ملی که اشاره متفاوتی به نظم عمومی بین‌المللی با توسل به هنجارهای ملی دارند، دادگاه‌های شماری از کشورها نیز اظهار داشته‌اند که مفهوم مضیق نظم عمومی را اعمال می‌کنند.</w:t>
      </w:r>
      <w:r>
        <w:rPr>
          <w:rFonts w:hint="cs"/>
          <w:rtl/>
          <w:lang w:bidi="fa-IR"/>
        </w:rPr>
        <w:t xml:space="preserve"> تنها</w:t>
      </w:r>
      <w:r w:rsidRPr="00C57D76">
        <w:rPr>
          <w:rFonts w:hint="cs"/>
          <w:rtl/>
          <w:lang w:bidi="fa-IR"/>
        </w:rPr>
        <w:t xml:space="preserve"> قانون متحدالشکل اوهادا </w:t>
      </w:r>
      <w:r w:rsidRPr="00C57D76">
        <w:rPr>
          <w:rFonts w:hint="cs"/>
          <w:rtl/>
          <w:lang w:bidi="fa-IR"/>
        </w:rPr>
        <w:lastRenderedPageBreak/>
        <w:t>برای هماهنگ سازی مفهوم نظم عمومی بین‌المللی در می</w:t>
      </w:r>
      <w:r>
        <w:rPr>
          <w:rFonts w:hint="cs"/>
          <w:rtl/>
          <w:lang w:bidi="fa-IR"/>
        </w:rPr>
        <w:t>ان کشورهای عضو تلاش منحصر به فردی داشته است.</w:t>
      </w:r>
    </w:p>
    <w:p w:rsidR="00BB4D32" w:rsidRDefault="00036F45" w:rsidP="00546B5C">
      <w:pPr>
        <w:bidi/>
        <w:ind w:firstLine="720"/>
        <w:jc w:val="mediumKashida"/>
        <w:rPr>
          <w:rtl/>
        </w:rPr>
      </w:pPr>
      <w:r>
        <w:rPr>
          <w:rFonts w:hint="cs"/>
          <w:rtl/>
        </w:rPr>
        <w:t>دادگاه‌های بسیاری از کشورها به منظور کاهش اثرات منفی نظم عمومی در روند اجرای رأی، نظم عمومی بین‌المللی را در این رابطه مدنظر قرار می‌دهند. می‌توان اذعان داشت که در میان تمامی</w:t>
      </w:r>
      <w:r w:rsidR="007F7EE5">
        <w:rPr>
          <w:rFonts w:hint="cs"/>
          <w:rtl/>
        </w:rPr>
        <w:t xml:space="preserve"> مراجع و صاحبنظران فعال در عرصه‌ی اجرای آرای داوری تجاری بین‌الملی، اتفاق نظر وجود دارد بر سر این موضوع که نظم عمومی بین‌المللی دارای مفهوم مضیق‌تری از نظم عمومی داخلی</w:t>
      </w:r>
      <w:r w:rsidR="002D4EBB">
        <w:rPr>
          <w:rFonts w:hint="cs"/>
          <w:rtl/>
        </w:rPr>
        <w:t xml:space="preserve"> است. در رویه عملی نیز </w:t>
      </w:r>
      <w:r w:rsidR="007F7EE5">
        <w:rPr>
          <w:rFonts w:hint="cs"/>
          <w:rtl/>
        </w:rPr>
        <w:t xml:space="preserve">کاربرد مفهوم نظم عمومی بین‌المللی توسط دادگاه‌های بسیاری از کشورها </w:t>
      </w:r>
      <w:r w:rsidR="00A06EE1">
        <w:rPr>
          <w:rFonts w:hint="cs"/>
          <w:rtl/>
        </w:rPr>
        <w:t>باعث کاهش ممانعت از ا</w:t>
      </w:r>
      <w:r w:rsidR="00BC0776">
        <w:rPr>
          <w:rFonts w:hint="cs"/>
          <w:rtl/>
        </w:rPr>
        <w:t>جرا و جانبداری هر چه بیشتر از اجرای حکم</w:t>
      </w:r>
      <w:r w:rsidR="00A06EE1">
        <w:rPr>
          <w:rFonts w:hint="cs"/>
          <w:rtl/>
        </w:rPr>
        <w:t xml:space="preserve"> گردیده است.</w:t>
      </w:r>
    </w:p>
    <w:p w:rsidR="006F382D" w:rsidRDefault="006F382D" w:rsidP="00367922">
      <w:pPr>
        <w:bidi/>
        <w:ind w:firstLine="720"/>
        <w:jc w:val="mediumKashida"/>
        <w:rPr>
          <w:rtl/>
        </w:rPr>
      </w:pPr>
      <w:r>
        <w:rPr>
          <w:rFonts w:hint="cs"/>
          <w:rtl/>
        </w:rPr>
        <w:t>دادگاه</w:t>
      </w:r>
      <w:r w:rsidR="00BC0776">
        <w:rPr>
          <w:rFonts w:hint="cs"/>
          <w:rtl/>
        </w:rPr>
        <w:t xml:space="preserve"> محل اجرای حکم </w:t>
      </w:r>
      <w:r>
        <w:rPr>
          <w:rFonts w:hint="cs"/>
          <w:rtl/>
        </w:rPr>
        <w:t>د</w:t>
      </w:r>
      <w:r w:rsidR="00BC0776">
        <w:rPr>
          <w:rFonts w:hint="cs"/>
          <w:rtl/>
        </w:rPr>
        <w:t>ر هر صورت در رابطه با اجرای احکام</w:t>
      </w:r>
      <w:r>
        <w:rPr>
          <w:rFonts w:hint="cs"/>
          <w:rtl/>
        </w:rPr>
        <w:t xml:space="preserve"> بین‌المللی، </w:t>
      </w:r>
      <w:r w:rsidR="00BC0776">
        <w:rPr>
          <w:rFonts w:hint="cs"/>
          <w:rtl/>
        </w:rPr>
        <w:t xml:space="preserve">بایستی </w:t>
      </w:r>
      <w:r>
        <w:rPr>
          <w:rFonts w:hint="cs"/>
          <w:rtl/>
        </w:rPr>
        <w:t>نظم عمومی بین‌المللی را اعمال کند و</w:t>
      </w:r>
      <w:r w:rsidR="00C54983">
        <w:rPr>
          <w:rFonts w:hint="cs"/>
          <w:rtl/>
        </w:rPr>
        <w:t xml:space="preserve"> حتی</w:t>
      </w:r>
      <w:r>
        <w:rPr>
          <w:rFonts w:hint="cs"/>
          <w:rtl/>
        </w:rPr>
        <w:t xml:space="preserve"> یکسان بودن مقر داوری بین‌المللی با دادگاه اجرایی نمی‌تواند دلیل مناسبی برای </w:t>
      </w:r>
      <w:r w:rsidR="00C54983">
        <w:rPr>
          <w:rFonts w:hint="cs"/>
          <w:rtl/>
        </w:rPr>
        <w:t>اعمال نظم عمومی داخلی دادگاه اجرایی در این زمینه باشد.</w:t>
      </w:r>
    </w:p>
    <w:p w:rsidR="00BC0776" w:rsidRDefault="00BC0776" w:rsidP="00BC0776">
      <w:pPr>
        <w:bidi/>
        <w:ind w:firstLine="720"/>
        <w:jc w:val="mediumKashida"/>
        <w:rPr>
          <w:rtl/>
        </w:rPr>
      </w:pPr>
      <w:r w:rsidRPr="00BC0776">
        <w:rPr>
          <w:rFonts w:hint="cs"/>
          <w:rtl/>
        </w:rPr>
        <w:t xml:space="preserve">نکته قابل ذکر دیگر این است که تفکیک رأی داوری، زمانی که بخشی از آن در تعارض با نظم عمومی می‌باشد، مخالفتی با نظم عمومی نداشته و با اسناد بین‌المللی در این زمینه هم ناسازگار نمی‌باشد. </w:t>
      </w:r>
    </w:p>
    <w:p w:rsidR="00C54983" w:rsidRDefault="00C54983" w:rsidP="00367922">
      <w:pPr>
        <w:bidi/>
        <w:ind w:firstLine="720"/>
        <w:jc w:val="mediumKashida"/>
        <w:rPr>
          <w:rtl/>
        </w:rPr>
      </w:pPr>
      <w:r>
        <w:rPr>
          <w:rFonts w:hint="cs"/>
          <w:rtl/>
        </w:rPr>
        <w:t>وجود روابط تیر</w:t>
      </w:r>
      <w:r w:rsidR="00366A83">
        <w:rPr>
          <w:rFonts w:hint="cs"/>
          <w:rtl/>
        </w:rPr>
        <w:t>ه بین دو کشور، نباید مانع از اجرای عدالت، به نفع یکی از این دو، در نظام قضایی طرف دیگر گردد.بدین معنا که نباید از نظم عمومی به عنوان وسیله‌ی تحصیل منافع ملی و پیشبرد سیاست خارجی استفاده کرد و از تفسیر نظم عمومی</w:t>
      </w:r>
      <w:r w:rsidR="003C3A71">
        <w:rPr>
          <w:rFonts w:hint="cs"/>
          <w:rtl/>
        </w:rPr>
        <w:t xml:space="preserve"> به این شکل، می‌بایست خودداری نمو</w:t>
      </w:r>
      <w:r w:rsidR="00366A83">
        <w:rPr>
          <w:rFonts w:hint="cs"/>
          <w:rtl/>
        </w:rPr>
        <w:t>د.</w:t>
      </w:r>
      <w:r w:rsidR="005E27B6">
        <w:rPr>
          <w:rFonts w:hint="cs"/>
          <w:rtl/>
        </w:rPr>
        <w:t xml:space="preserve"> چرا که برابر دانستن نظم عمومی با سیاست خارجی، موجب تضعیف کارآیی شیوه داوری به عنوان جایگزین دادخواهی </w:t>
      </w:r>
      <w:r w:rsidR="005E27B6">
        <w:rPr>
          <w:rFonts w:hint="cs"/>
          <w:rtl/>
        </w:rPr>
        <w:lastRenderedPageBreak/>
        <w:t>قضایی می‌گردد. در بررسی پروندهای موجود نیز دیده شد که تیرگی روابط دو کشور نمی‌تواند</w:t>
      </w:r>
      <w:r w:rsidR="001A7927">
        <w:rPr>
          <w:rFonts w:hint="cs"/>
          <w:rtl/>
        </w:rPr>
        <w:t>،</w:t>
      </w:r>
      <w:r w:rsidR="005E27B6">
        <w:rPr>
          <w:rFonts w:hint="cs"/>
          <w:rtl/>
        </w:rPr>
        <w:t xml:space="preserve"> تحت عنوان نظم عمومی مانعی بر سر راه اجرای رأی داوری تجاری بین‌المللی ایجاد کند.</w:t>
      </w:r>
    </w:p>
    <w:p w:rsidR="00E2082E" w:rsidRPr="0096276D" w:rsidRDefault="005E27B6" w:rsidP="00E84722">
      <w:pPr>
        <w:bidi/>
        <w:jc w:val="mediumKashida"/>
        <w:rPr>
          <w:rtl/>
        </w:rPr>
      </w:pPr>
      <w:r>
        <w:rPr>
          <w:rFonts w:hint="cs"/>
          <w:rtl/>
        </w:rPr>
        <w:t xml:space="preserve">در پایان </w:t>
      </w:r>
      <w:r w:rsidR="00F57A22">
        <w:rPr>
          <w:rFonts w:hint="cs"/>
          <w:rtl/>
        </w:rPr>
        <w:t xml:space="preserve">می‌توان اذعان داشت که قریب به اکثر موارد عملی در زمینه مانع نظم عمومی </w:t>
      </w:r>
      <w:r w:rsidR="00546B5C">
        <w:rPr>
          <w:rFonts w:hint="cs"/>
          <w:rtl/>
        </w:rPr>
        <w:t>و نظارت قضائی بر</w:t>
      </w:r>
      <w:r w:rsidR="00F57A22">
        <w:rPr>
          <w:rFonts w:hint="cs"/>
          <w:rtl/>
        </w:rPr>
        <w:t xml:space="preserve"> اجرای احکام داوری تجاری بین‌المل</w:t>
      </w:r>
      <w:r w:rsidR="00546B5C">
        <w:rPr>
          <w:rFonts w:hint="cs"/>
          <w:rtl/>
        </w:rPr>
        <w:t>لی، گرایش به اجرای هر چه بیشتر احکام داوری داشته است و موارد نادری ممانعت از اجرای حکم صورت گرفته است.</w:t>
      </w:r>
    </w:p>
    <w:p w:rsidR="007A231C" w:rsidRPr="00E84722" w:rsidRDefault="007A231C" w:rsidP="00393B62">
      <w:pPr>
        <w:bidi/>
        <w:jc w:val="both"/>
        <w:rPr>
          <w:rtl/>
          <w:lang w:bidi="fa-IR"/>
        </w:rPr>
      </w:pPr>
      <w:bookmarkStart w:id="39" w:name="_Toc397212666"/>
    </w:p>
    <w:p w:rsidR="00541DAE" w:rsidRDefault="009E32D4" w:rsidP="007A231C">
      <w:pPr>
        <w:pStyle w:val="Heading2"/>
        <w:bidi/>
        <w:ind w:firstLine="360"/>
        <w:jc w:val="center"/>
        <w:rPr>
          <w:lang w:bidi="fa-IR"/>
        </w:rPr>
      </w:pPr>
      <w:r>
        <w:rPr>
          <w:rFonts w:hint="cs"/>
          <w:rtl/>
          <w:lang w:bidi="fa-IR"/>
        </w:rPr>
        <w:t>فهرست منابع</w:t>
      </w:r>
      <w:bookmarkEnd w:id="39"/>
    </w:p>
    <w:p w:rsidR="00541DAE" w:rsidRDefault="00541DAE" w:rsidP="00E84722">
      <w:pPr>
        <w:tabs>
          <w:tab w:val="right" w:pos="360"/>
        </w:tabs>
        <w:bidi/>
        <w:jc w:val="left"/>
        <w:rPr>
          <w:b/>
          <w:bCs/>
          <w:sz w:val="30"/>
          <w:szCs w:val="30"/>
          <w:rtl/>
          <w:lang w:bidi="fa-IR"/>
        </w:rPr>
      </w:pPr>
      <w:r>
        <w:rPr>
          <w:rFonts w:hint="cs"/>
          <w:b/>
          <w:bCs/>
          <w:sz w:val="30"/>
          <w:szCs w:val="30"/>
          <w:rtl/>
          <w:lang w:bidi="fa-IR"/>
        </w:rPr>
        <w:t>منابع فارسی</w:t>
      </w:r>
    </w:p>
    <w:p w:rsidR="00F0717A" w:rsidRDefault="00F0717A" w:rsidP="00E84722">
      <w:pPr>
        <w:tabs>
          <w:tab w:val="right" w:pos="360"/>
        </w:tabs>
        <w:bidi/>
        <w:jc w:val="left"/>
        <w:rPr>
          <w:b/>
          <w:bCs/>
          <w:sz w:val="30"/>
          <w:szCs w:val="30"/>
          <w:rtl/>
          <w:lang w:bidi="fa-IR"/>
        </w:rPr>
      </w:pPr>
      <w:r>
        <w:rPr>
          <w:rFonts w:hint="cs"/>
          <w:b/>
          <w:bCs/>
          <w:sz w:val="30"/>
          <w:szCs w:val="30"/>
          <w:rtl/>
          <w:lang w:bidi="fa-IR"/>
        </w:rPr>
        <w:t>کتب</w:t>
      </w:r>
    </w:p>
    <w:p w:rsidR="00E415A8" w:rsidRDefault="00E415A8" w:rsidP="003F13D7">
      <w:pPr>
        <w:pStyle w:val="ListParagraph"/>
        <w:numPr>
          <w:ilvl w:val="0"/>
          <w:numId w:val="1"/>
        </w:numPr>
        <w:tabs>
          <w:tab w:val="right" w:pos="360"/>
        </w:tabs>
        <w:bidi/>
        <w:spacing w:after="200" w:line="276" w:lineRule="auto"/>
        <w:ind w:left="0" w:firstLine="0"/>
        <w:jc w:val="left"/>
        <w:rPr>
          <w:sz w:val="24"/>
          <w:szCs w:val="24"/>
        </w:rPr>
      </w:pPr>
      <w:r w:rsidRPr="00E415A8">
        <w:rPr>
          <w:sz w:val="24"/>
          <w:szCs w:val="24"/>
          <w:rtl/>
        </w:rPr>
        <w:t>احمد</w:t>
      </w:r>
      <w:r w:rsidRPr="00E415A8">
        <w:rPr>
          <w:rFonts w:hint="cs"/>
          <w:sz w:val="24"/>
          <w:szCs w:val="24"/>
          <w:rtl/>
        </w:rPr>
        <w:t>ی</w:t>
      </w:r>
      <w:r w:rsidRPr="00E415A8">
        <w:rPr>
          <w:sz w:val="24"/>
          <w:szCs w:val="24"/>
          <w:rtl/>
        </w:rPr>
        <w:t xml:space="preserve"> واستان</w:t>
      </w:r>
      <w:r w:rsidRPr="00E415A8">
        <w:rPr>
          <w:rFonts w:hint="cs"/>
          <w:sz w:val="24"/>
          <w:szCs w:val="24"/>
          <w:rtl/>
        </w:rPr>
        <w:t>ی</w:t>
      </w:r>
      <w:r w:rsidRPr="00E415A8">
        <w:rPr>
          <w:rFonts w:hint="eastAsia"/>
          <w:sz w:val="24"/>
          <w:szCs w:val="24"/>
          <w:rtl/>
        </w:rPr>
        <w:t>،</w:t>
      </w:r>
      <w:r w:rsidRPr="00E415A8">
        <w:rPr>
          <w:sz w:val="24"/>
          <w:szCs w:val="24"/>
          <w:rtl/>
        </w:rPr>
        <w:t xml:space="preserve"> عبدالغن</w:t>
      </w:r>
      <w:r w:rsidRPr="00E415A8">
        <w:rPr>
          <w:rFonts w:hint="cs"/>
          <w:sz w:val="24"/>
          <w:szCs w:val="24"/>
          <w:rtl/>
        </w:rPr>
        <w:t>ی</w:t>
      </w:r>
      <w:r w:rsidRPr="00E415A8">
        <w:rPr>
          <w:rFonts w:hint="eastAsia"/>
          <w:sz w:val="24"/>
          <w:szCs w:val="24"/>
          <w:rtl/>
        </w:rPr>
        <w:t>،</w:t>
      </w:r>
      <w:r w:rsidRPr="00E415A8">
        <w:rPr>
          <w:sz w:val="24"/>
          <w:szCs w:val="24"/>
          <w:rtl/>
        </w:rPr>
        <w:t xml:space="preserve"> </w:t>
      </w:r>
      <w:r w:rsidRPr="00EF61C2">
        <w:rPr>
          <w:b/>
          <w:bCs/>
          <w:sz w:val="24"/>
          <w:szCs w:val="24"/>
          <w:rtl/>
        </w:rPr>
        <w:t>نظم عموم</w:t>
      </w:r>
      <w:r w:rsidRPr="00EF61C2">
        <w:rPr>
          <w:rFonts w:hint="cs"/>
          <w:b/>
          <w:bCs/>
          <w:sz w:val="24"/>
          <w:szCs w:val="24"/>
          <w:rtl/>
        </w:rPr>
        <w:t>ی</w:t>
      </w:r>
      <w:r w:rsidRPr="00EF61C2">
        <w:rPr>
          <w:b/>
          <w:bCs/>
          <w:sz w:val="24"/>
          <w:szCs w:val="24"/>
          <w:rtl/>
        </w:rPr>
        <w:t xml:space="preserve"> در حقوق خصوص</w:t>
      </w:r>
      <w:r w:rsidRPr="00EF61C2">
        <w:rPr>
          <w:rFonts w:hint="cs"/>
          <w:b/>
          <w:bCs/>
          <w:sz w:val="24"/>
          <w:szCs w:val="24"/>
          <w:rtl/>
        </w:rPr>
        <w:t>ی</w:t>
      </w:r>
      <w:r w:rsidRPr="00E415A8">
        <w:rPr>
          <w:rFonts w:hint="eastAsia"/>
          <w:sz w:val="24"/>
          <w:szCs w:val="24"/>
          <w:rtl/>
        </w:rPr>
        <w:t>،</w:t>
      </w:r>
      <w:r w:rsidRPr="00E415A8">
        <w:rPr>
          <w:sz w:val="24"/>
          <w:szCs w:val="24"/>
          <w:rtl/>
        </w:rPr>
        <w:t xml:space="preserve"> روزنامه رسم</w:t>
      </w:r>
      <w:r w:rsidRPr="00E415A8">
        <w:rPr>
          <w:rFonts w:hint="cs"/>
          <w:sz w:val="24"/>
          <w:szCs w:val="24"/>
          <w:rtl/>
        </w:rPr>
        <w:t>ی</w:t>
      </w:r>
      <w:r w:rsidRPr="00E415A8">
        <w:rPr>
          <w:rFonts w:hint="eastAsia"/>
          <w:sz w:val="24"/>
          <w:szCs w:val="24"/>
          <w:rtl/>
        </w:rPr>
        <w:t>،</w:t>
      </w:r>
      <w:r w:rsidRPr="00E415A8">
        <w:rPr>
          <w:sz w:val="24"/>
          <w:szCs w:val="24"/>
          <w:rtl/>
        </w:rPr>
        <w:t xml:space="preserve"> 1341، تهران</w:t>
      </w:r>
      <w:r>
        <w:rPr>
          <w:rFonts w:hint="cs"/>
          <w:sz w:val="24"/>
          <w:szCs w:val="24"/>
          <w:rtl/>
        </w:rPr>
        <w:t>.</w:t>
      </w:r>
    </w:p>
    <w:p w:rsidR="00EF61C2" w:rsidRDefault="00EF61C2" w:rsidP="003F13D7">
      <w:pPr>
        <w:pStyle w:val="ListParagraph"/>
        <w:numPr>
          <w:ilvl w:val="0"/>
          <w:numId w:val="1"/>
        </w:numPr>
        <w:tabs>
          <w:tab w:val="right" w:pos="360"/>
        </w:tabs>
        <w:bidi/>
        <w:spacing w:after="200" w:line="276" w:lineRule="auto"/>
        <w:ind w:left="0" w:firstLine="0"/>
        <w:jc w:val="left"/>
        <w:rPr>
          <w:sz w:val="24"/>
          <w:szCs w:val="24"/>
        </w:rPr>
      </w:pPr>
      <w:r w:rsidRPr="006C7EE0">
        <w:rPr>
          <w:rFonts w:hint="cs"/>
          <w:sz w:val="24"/>
          <w:szCs w:val="24"/>
          <w:rtl/>
          <w:lang w:bidi="fa-IR"/>
        </w:rPr>
        <w:t xml:space="preserve">ارفع نیا، بهشید، </w:t>
      </w:r>
      <w:r w:rsidRPr="006C7EE0">
        <w:rPr>
          <w:rFonts w:hint="cs"/>
          <w:b/>
          <w:bCs/>
          <w:sz w:val="24"/>
          <w:szCs w:val="24"/>
          <w:rtl/>
          <w:lang w:bidi="fa-IR"/>
        </w:rPr>
        <w:t>تعارض قوانین و تعارض دادگاه‌ها</w:t>
      </w:r>
      <w:r w:rsidRPr="006C7EE0">
        <w:rPr>
          <w:rFonts w:hint="cs"/>
          <w:sz w:val="24"/>
          <w:szCs w:val="24"/>
          <w:rtl/>
          <w:lang w:bidi="fa-IR"/>
        </w:rPr>
        <w:t>، چاپ اول، جلد دوم، 1369.</w:t>
      </w:r>
    </w:p>
    <w:p w:rsidR="006C7EE0" w:rsidRPr="00226F0F" w:rsidRDefault="006C7EE0" w:rsidP="003F13D7">
      <w:pPr>
        <w:pStyle w:val="ListParagraph"/>
        <w:numPr>
          <w:ilvl w:val="0"/>
          <w:numId w:val="1"/>
        </w:numPr>
        <w:tabs>
          <w:tab w:val="right" w:pos="360"/>
        </w:tabs>
        <w:bidi/>
        <w:spacing w:after="200" w:line="276" w:lineRule="auto"/>
        <w:ind w:left="0" w:firstLine="0"/>
        <w:jc w:val="left"/>
        <w:rPr>
          <w:sz w:val="24"/>
          <w:szCs w:val="24"/>
        </w:rPr>
      </w:pPr>
      <w:r>
        <w:rPr>
          <w:rFonts w:hint="cs"/>
          <w:sz w:val="24"/>
          <w:szCs w:val="24"/>
          <w:rtl/>
          <w:lang w:bidi="fa-IR"/>
        </w:rPr>
        <w:t xml:space="preserve">الماسی، </w:t>
      </w:r>
      <w:r w:rsidRPr="00226F0F">
        <w:rPr>
          <w:rFonts w:hint="cs"/>
          <w:sz w:val="24"/>
          <w:szCs w:val="24"/>
          <w:rtl/>
          <w:lang w:bidi="fa-IR"/>
        </w:rPr>
        <w:t xml:space="preserve">نجادعلی، </w:t>
      </w:r>
      <w:r w:rsidRPr="00226F0F">
        <w:rPr>
          <w:rFonts w:hint="cs"/>
          <w:b/>
          <w:bCs/>
          <w:sz w:val="24"/>
          <w:szCs w:val="24"/>
          <w:rtl/>
          <w:lang w:bidi="fa-IR"/>
        </w:rPr>
        <w:t>حقوق بین‌الملل خصوصی</w:t>
      </w:r>
      <w:r w:rsidRPr="00226F0F">
        <w:rPr>
          <w:rFonts w:hint="cs"/>
          <w:sz w:val="24"/>
          <w:szCs w:val="24"/>
          <w:rtl/>
          <w:lang w:bidi="fa-IR"/>
        </w:rPr>
        <w:t>، نشر میزان، 1385، تهران.</w:t>
      </w:r>
    </w:p>
    <w:p w:rsidR="006C7EE0" w:rsidRPr="00347BEE" w:rsidRDefault="00347BEE"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 xml:space="preserve">جعفری لنگرودی، محمد جعفر، </w:t>
      </w:r>
      <w:r w:rsidRPr="00226F0F">
        <w:rPr>
          <w:rFonts w:hint="cs"/>
          <w:b/>
          <w:bCs/>
          <w:sz w:val="24"/>
          <w:szCs w:val="24"/>
          <w:rtl/>
          <w:lang w:bidi="fa-IR"/>
        </w:rPr>
        <w:t>ترمینولوژی حقوق</w:t>
      </w:r>
      <w:r w:rsidRPr="00226F0F">
        <w:rPr>
          <w:rFonts w:hint="cs"/>
          <w:sz w:val="24"/>
          <w:szCs w:val="24"/>
          <w:rtl/>
          <w:lang w:bidi="fa-IR"/>
        </w:rPr>
        <w:t>، چاپ نهم، گنج دانش، 1377، تهران.</w:t>
      </w:r>
    </w:p>
    <w:p w:rsidR="006C7EE0" w:rsidRPr="00226F0F" w:rsidRDefault="006C7EE0" w:rsidP="003F13D7">
      <w:pPr>
        <w:pStyle w:val="FootnoteText"/>
        <w:numPr>
          <w:ilvl w:val="0"/>
          <w:numId w:val="1"/>
        </w:numPr>
        <w:tabs>
          <w:tab w:val="right" w:pos="360"/>
        </w:tabs>
        <w:bidi/>
        <w:ind w:left="0" w:firstLine="0"/>
        <w:jc w:val="left"/>
        <w:rPr>
          <w:sz w:val="24"/>
          <w:szCs w:val="24"/>
          <w:rtl/>
          <w:lang w:bidi="fa-IR"/>
        </w:rPr>
      </w:pPr>
      <w:r w:rsidRPr="00226F0F">
        <w:rPr>
          <w:rFonts w:hint="cs"/>
          <w:sz w:val="24"/>
          <w:szCs w:val="24"/>
          <w:rtl/>
          <w:lang w:bidi="fa-IR"/>
        </w:rPr>
        <w:t xml:space="preserve">جعفری لنگرودی، محمد جعفر، </w:t>
      </w:r>
      <w:r w:rsidRPr="00226F0F">
        <w:rPr>
          <w:rFonts w:hint="cs"/>
          <w:b/>
          <w:bCs/>
          <w:sz w:val="24"/>
          <w:szCs w:val="24"/>
          <w:rtl/>
          <w:lang w:bidi="fa-IR"/>
        </w:rPr>
        <w:t>علم حقوق در گذر تاریخ</w:t>
      </w:r>
      <w:r w:rsidRPr="00226F0F">
        <w:rPr>
          <w:rFonts w:hint="cs"/>
          <w:sz w:val="24"/>
          <w:szCs w:val="24"/>
          <w:rtl/>
          <w:lang w:bidi="fa-IR"/>
        </w:rPr>
        <w:t>، انتشارات گنج دانش، 1387، تهران.</w:t>
      </w:r>
    </w:p>
    <w:p w:rsidR="00347BEE" w:rsidRPr="006245E9" w:rsidRDefault="00347BEE"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 xml:space="preserve">جنیدی، لعیا، </w:t>
      </w:r>
      <w:r w:rsidRPr="00226F0F">
        <w:rPr>
          <w:rFonts w:hint="cs"/>
          <w:b/>
          <w:bCs/>
          <w:sz w:val="24"/>
          <w:szCs w:val="24"/>
          <w:rtl/>
          <w:lang w:bidi="fa-IR"/>
        </w:rPr>
        <w:t>اجرای احکام داوری بازرگانی خارجی</w:t>
      </w:r>
      <w:r w:rsidRPr="00226F0F">
        <w:rPr>
          <w:rFonts w:hint="cs"/>
          <w:sz w:val="24"/>
          <w:szCs w:val="24"/>
          <w:rtl/>
          <w:lang w:bidi="fa-IR"/>
        </w:rPr>
        <w:t>، نشر شهر دانش، 1381، تهران.</w:t>
      </w:r>
    </w:p>
    <w:p w:rsidR="006C7EE0" w:rsidRPr="005F09B5" w:rsidRDefault="005F09B5"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جنیدی، لعیا،</w:t>
      </w:r>
      <w:r w:rsidRPr="00226F0F">
        <w:rPr>
          <w:sz w:val="24"/>
          <w:szCs w:val="24"/>
          <w:lang w:bidi="fa-IR"/>
        </w:rPr>
        <w:t xml:space="preserve"> </w:t>
      </w:r>
      <w:r w:rsidRPr="00226F0F">
        <w:rPr>
          <w:rFonts w:hint="cs"/>
          <w:b/>
          <w:bCs/>
          <w:sz w:val="24"/>
          <w:szCs w:val="24"/>
          <w:rtl/>
          <w:lang w:bidi="fa-IR"/>
        </w:rPr>
        <w:t>قانون حاکم بر داوری‌های تجاری بین‌المللی</w:t>
      </w:r>
      <w:r w:rsidRPr="00226F0F">
        <w:rPr>
          <w:rFonts w:hint="cs"/>
          <w:sz w:val="24"/>
          <w:szCs w:val="24"/>
          <w:rtl/>
          <w:lang w:bidi="fa-IR"/>
        </w:rPr>
        <w:t>، نشر دادگستر، 1376، تهران.</w:t>
      </w:r>
    </w:p>
    <w:p w:rsidR="006C7EE0" w:rsidRDefault="006C7EE0" w:rsidP="003F13D7">
      <w:pPr>
        <w:pStyle w:val="ListParagraph"/>
        <w:numPr>
          <w:ilvl w:val="0"/>
          <w:numId w:val="1"/>
        </w:numPr>
        <w:tabs>
          <w:tab w:val="right" w:pos="360"/>
        </w:tabs>
        <w:bidi/>
        <w:spacing w:after="200" w:line="276" w:lineRule="auto"/>
        <w:ind w:left="0" w:firstLine="0"/>
        <w:jc w:val="left"/>
        <w:rPr>
          <w:sz w:val="24"/>
          <w:szCs w:val="24"/>
        </w:rPr>
      </w:pPr>
      <w:r w:rsidRPr="006C7EE0">
        <w:rPr>
          <w:sz w:val="24"/>
          <w:szCs w:val="24"/>
          <w:rtl/>
          <w:lang w:bidi="fa-IR"/>
        </w:rPr>
        <w:t xml:space="preserve">ساکت، محمدحسین، </w:t>
      </w:r>
      <w:r w:rsidRPr="006C7EE0">
        <w:rPr>
          <w:b/>
          <w:bCs/>
          <w:sz w:val="24"/>
          <w:szCs w:val="24"/>
          <w:rtl/>
          <w:lang w:bidi="fa-IR"/>
        </w:rPr>
        <w:t>حقوق‌شناسی یا دیباچه‌ای بر دانش حقوق</w:t>
      </w:r>
      <w:r w:rsidRPr="006C7EE0">
        <w:rPr>
          <w:sz w:val="24"/>
          <w:szCs w:val="24"/>
          <w:rtl/>
          <w:lang w:bidi="fa-IR"/>
        </w:rPr>
        <w:t xml:space="preserve">، انتشارات ترجمه و نشر نخست، </w:t>
      </w:r>
      <w:r w:rsidRPr="006C7EE0">
        <w:rPr>
          <w:rFonts w:hint="cs"/>
          <w:sz w:val="24"/>
          <w:szCs w:val="24"/>
          <w:rtl/>
          <w:lang w:bidi="fa-IR"/>
        </w:rPr>
        <w:t xml:space="preserve">1371، </w:t>
      </w:r>
      <w:r w:rsidRPr="006C7EE0">
        <w:rPr>
          <w:sz w:val="24"/>
          <w:szCs w:val="24"/>
          <w:rtl/>
          <w:lang w:bidi="fa-IR"/>
        </w:rPr>
        <w:t>مشهد</w:t>
      </w:r>
      <w:r w:rsidRPr="006C7EE0">
        <w:rPr>
          <w:rFonts w:hint="cs"/>
          <w:sz w:val="24"/>
          <w:szCs w:val="24"/>
          <w:rtl/>
          <w:lang w:bidi="fa-IR"/>
        </w:rPr>
        <w:t>.</w:t>
      </w:r>
    </w:p>
    <w:p w:rsidR="00347BEE" w:rsidRPr="00226F0F" w:rsidRDefault="00347BEE"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lastRenderedPageBreak/>
        <w:t xml:space="preserve">سلجوقی، محمود، </w:t>
      </w:r>
      <w:r w:rsidRPr="00226F0F">
        <w:rPr>
          <w:rFonts w:hint="cs"/>
          <w:b/>
          <w:bCs/>
          <w:sz w:val="24"/>
          <w:szCs w:val="24"/>
          <w:rtl/>
          <w:lang w:bidi="fa-IR"/>
        </w:rPr>
        <w:t>حقوق بین‌الملل خصوصی</w:t>
      </w:r>
      <w:r w:rsidRPr="00226F0F">
        <w:rPr>
          <w:rFonts w:hint="cs"/>
          <w:sz w:val="24"/>
          <w:szCs w:val="24"/>
          <w:rtl/>
          <w:lang w:bidi="fa-IR"/>
        </w:rPr>
        <w:t>، چاپ چهارم، جلد 2، نشر میزان، 1386، تهران.</w:t>
      </w:r>
    </w:p>
    <w:p w:rsidR="00347BEE" w:rsidRPr="00347BEE" w:rsidRDefault="00347BEE"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 xml:space="preserve">صفایی، حسین، </w:t>
      </w:r>
      <w:r w:rsidRPr="00226F0F">
        <w:rPr>
          <w:rFonts w:hint="cs"/>
          <w:b/>
          <w:bCs/>
          <w:sz w:val="24"/>
          <w:szCs w:val="24"/>
          <w:rtl/>
          <w:lang w:bidi="fa-IR"/>
        </w:rPr>
        <w:t>قواعد عمومی قراردادها</w:t>
      </w:r>
      <w:r w:rsidRPr="00226F0F">
        <w:rPr>
          <w:rFonts w:hint="cs"/>
          <w:sz w:val="24"/>
          <w:szCs w:val="24"/>
          <w:rtl/>
          <w:lang w:bidi="fa-IR"/>
        </w:rPr>
        <w:t>، نشر میزان،1382، تهران.</w:t>
      </w:r>
    </w:p>
    <w:p w:rsidR="005F09B5" w:rsidRPr="005F09B5" w:rsidRDefault="005F09B5"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 xml:space="preserve">کاتوزیان، ناصر، </w:t>
      </w:r>
      <w:r w:rsidRPr="00226F0F">
        <w:rPr>
          <w:rFonts w:hint="cs"/>
          <w:b/>
          <w:bCs/>
          <w:sz w:val="24"/>
          <w:szCs w:val="24"/>
          <w:rtl/>
          <w:lang w:bidi="fa-IR"/>
        </w:rPr>
        <w:t>قواعد عمومی قراردادها</w:t>
      </w:r>
      <w:r w:rsidRPr="00226F0F">
        <w:rPr>
          <w:rFonts w:hint="cs"/>
          <w:sz w:val="24"/>
          <w:szCs w:val="24"/>
          <w:rtl/>
          <w:lang w:bidi="fa-IR"/>
        </w:rPr>
        <w:t>، چاپ پنجم، جلد 1، شرکت سهامی انتشار، 1380، تهران.</w:t>
      </w:r>
    </w:p>
    <w:p w:rsidR="006C7EE0" w:rsidRPr="005F09B5" w:rsidRDefault="005F09B5"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 xml:space="preserve">نصیری، مرتضی، </w:t>
      </w:r>
      <w:r w:rsidRPr="00226F0F">
        <w:rPr>
          <w:rFonts w:hint="cs"/>
          <w:b/>
          <w:bCs/>
          <w:sz w:val="24"/>
          <w:szCs w:val="24"/>
          <w:rtl/>
          <w:lang w:bidi="fa-IR"/>
        </w:rPr>
        <w:t>حقوق چند ملیتی</w:t>
      </w:r>
      <w:r w:rsidRPr="00226F0F">
        <w:rPr>
          <w:rFonts w:hint="cs"/>
          <w:sz w:val="24"/>
          <w:szCs w:val="24"/>
          <w:rtl/>
          <w:lang w:bidi="fa-IR"/>
        </w:rPr>
        <w:t>، نشر دانش امروز، 1370، تهران.</w:t>
      </w:r>
    </w:p>
    <w:p w:rsidR="00E415A8" w:rsidRPr="00EF61C2" w:rsidRDefault="00F95D69"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rPr>
        <w:t xml:space="preserve">نصیری، مرتضی، </w:t>
      </w:r>
      <w:r w:rsidRPr="00EF61C2">
        <w:rPr>
          <w:rFonts w:hint="cs"/>
          <w:b/>
          <w:bCs/>
          <w:sz w:val="24"/>
          <w:szCs w:val="24"/>
          <w:rtl/>
        </w:rPr>
        <w:t>شناسایی و اجرای احکام محاکم خارجی</w:t>
      </w:r>
      <w:r w:rsidRPr="00226F0F">
        <w:rPr>
          <w:rFonts w:hint="cs"/>
          <w:sz w:val="24"/>
          <w:szCs w:val="24"/>
          <w:rtl/>
        </w:rPr>
        <w:t>، جزوه درسی دانشکده حقوق و علوم سیاسی، نیمسال دوم سال تحصیلی 51-50.</w:t>
      </w:r>
    </w:p>
    <w:p w:rsidR="00F95D69" w:rsidRDefault="00F95D69" w:rsidP="00E84722">
      <w:pPr>
        <w:tabs>
          <w:tab w:val="right" w:pos="360"/>
        </w:tabs>
        <w:bidi/>
        <w:jc w:val="left"/>
        <w:rPr>
          <w:b/>
          <w:bCs/>
          <w:sz w:val="30"/>
          <w:szCs w:val="30"/>
          <w:lang w:bidi="fa-IR"/>
        </w:rPr>
      </w:pPr>
    </w:p>
    <w:p w:rsidR="006A7488" w:rsidRDefault="006A7488" w:rsidP="006A7488">
      <w:pPr>
        <w:tabs>
          <w:tab w:val="right" w:pos="360"/>
        </w:tabs>
        <w:bidi/>
        <w:jc w:val="left"/>
        <w:rPr>
          <w:b/>
          <w:bCs/>
          <w:sz w:val="30"/>
          <w:szCs w:val="30"/>
          <w:rtl/>
          <w:lang w:bidi="fa-IR"/>
        </w:rPr>
      </w:pPr>
    </w:p>
    <w:p w:rsidR="00F0717A" w:rsidRPr="00541DAE" w:rsidRDefault="00F0717A" w:rsidP="00E84722">
      <w:pPr>
        <w:tabs>
          <w:tab w:val="right" w:pos="360"/>
        </w:tabs>
        <w:bidi/>
        <w:jc w:val="left"/>
        <w:rPr>
          <w:b/>
          <w:bCs/>
          <w:sz w:val="30"/>
          <w:szCs w:val="30"/>
          <w:rtl/>
          <w:lang w:bidi="fa-IR"/>
        </w:rPr>
      </w:pPr>
      <w:r>
        <w:rPr>
          <w:rFonts w:hint="cs"/>
          <w:b/>
          <w:bCs/>
          <w:sz w:val="30"/>
          <w:szCs w:val="30"/>
          <w:rtl/>
          <w:lang w:bidi="fa-IR"/>
        </w:rPr>
        <w:t>مقالات</w:t>
      </w:r>
      <w:r w:rsidR="005F09B5">
        <w:rPr>
          <w:rFonts w:hint="cs"/>
          <w:b/>
          <w:bCs/>
          <w:sz w:val="30"/>
          <w:szCs w:val="30"/>
          <w:rtl/>
          <w:lang w:bidi="fa-IR"/>
        </w:rPr>
        <w:t xml:space="preserve"> و پایان‌نامه‌ها</w:t>
      </w:r>
    </w:p>
    <w:p w:rsidR="00EE7E3C" w:rsidRDefault="00EE7E3C" w:rsidP="003F13D7">
      <w:pPr>
        <w:pStyle w:val="ListParagraph"/>
        <w:numPr>
          <w:ilvl w:val="0"/>
          <w:numId w:val="6"/>
        </w:numPr>
        <w:tabs>
          <w:tab w:val="right" w:pos="360"/>
        </w:tabs>
        <w:bidi/>
        <w:spacing w:after="200" w:line="276" w:lineRule="auto"/>
        <w:ind w:left="0" w:firstLine="0"/>
        <w:jc w:val="left"/>
        <w:rPr>
          <w:sz w:val="24"/>
          <w:szCs w:val="24"/>
        </w:rPr>
      </w:pPr>
      <w:r w:rsidRPr="00F0717A">
        <w:rPr>
          <w:rFonts w:hint="cs"/>
          <w:sz w:val="24"/>
          <w:szCs w:val="24"/>
          <w:rtl/>
          <w:lang w:bidi="fa-IR"/>
        </w:rPr>
        <w:t xml:space="preserve">ابدالی، مهرزاد، محمد عیسی تفرشی، «بررسی قراردادهای نامشروع(مغایر نظم عمومی) در حقوق فرانسه، انگلیس و ایران»، </w:t>
      </w:r>
      <w:r w:rsidRPr="00F0717A">
        <w:rPr>
          <w:rFonts w:hint="cs"/>
          <w:b/>
          <w:bCs/>
          <w:sz w:val="24"/>
          <w:szCs w:val="24"/>
          <w:rtl/>
          <w:lang w:bidi="fa-IR"/>
        </w:rPr>
        <w:t>فصلنامه پژوهش‌های حقوق تطبیقی</w:t>
      </w:r>
      <w:r w:rsidRPr="00F0717A">
        <w:rPr>
          <w:rFonts w:hint="cs"/>
          <w:sz w:val="24"/>
          <w:szCs w:val="24"/>
          <w:rtl/>
          <w:lang w:bidi="fa-IR"/>
        </w:rPr>
        <w:t>، دوره 8، ویژه‌نامه 37 پیاپی، دانشگاه تربیت مدرس، تهران1383.</w:t>
      </w:r>
    </w:p>
    <w:p w:rsidR="0080264C" w:rsidRDefault="0080264C"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ابدالی، مهرزاد، «مطالعه تطبیقی مفاهیم نظم عمومی و اخلاق حسنه در حقوق فرانسه، انگلیس و ایران»، </w:t>
      </w:r>
      <w:r w:rsidRPr="00226F0F">
        <w:rPr>
          <w:rFonts w:hint="cs"/>
          <w:b/>
          <w:bCs/>
          <w:sz w:val="24"/>
          <w:szCs w:val="24"/>
          <w:rtl/>
          <w:lang w:bidi="fa-IR"/>
        </w:rPr>
        <w:t>پژوهشنامه علوم انسانی</w:t>
      </w:r>
      <w:r w:rsidRPr="00226F0F">
        <w:rPr>
          <w:rFonts w:hint="cs"/>
          <w:sz w:val="24"/>
          <w:szCs w:val="24"/>
          <w:rtl/>
          <w:lang w:bidi="fa-IR"/>
        </w:rPr>
        <w:t>، دانشگاه بین‌المللی امام خمینی، سال سوم، شماره 1و2، 1385.</w:t>
      </w:r>
    </w:p>
    <w:p w:rsidR="00817FF6" w:rsidRDefault="00817FF6"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ارکلش ویلی، الکساندر، «تأثیر قواعد آمره حقوق بین الملل بر تفسیر و اجرای قطعنامه های شورای امنیت»، ترجمه دکتر سید قاسم زمانی، </w:t>
      </w:r>
      <w:r w:rsidRPr="00226F0F">
        <w:rPr>
          <w:rFonts w:hint="cs"/>
          <w:b/>
          <w:bCs/>
          <w:sz w:val="24"/>
          <w:szCs w:val="24"/>
          <w:rtl/>
          <w:lang w:bidi="fa-IR"/>
        </w:rPr>
        <w:t>مجله پژوهش</w:t>
      </w:r>
      <w:r w:rsidRPr="00226F0F">
        <w:rPr>
          <w:rFonts w:hint="cs"/>
          <w:b/>
          <w:bCs/>
          <w:sz w:val="24"/>
          <w:szCs w:val="24"/>
          <w:rtl/>
          <w:lang w:bidi="fa-IR"/>
        </w:rPr>
        <w:softHyphen/>
        <w:t>های حقوقی</w:t>
      </w:r>
      <w:r w:rsidRPr="00226F0F">
        <w:rPr>
          <w:rFonts w:hint="cs"/>
          <w:sz w:val="24"/>
          <w:szCs w:val="24"/>
          <w:rtl/>
          <w:lang w:bidi="fa-IR"/>
        </w:rPr>
        <w:t>، سال 4، شماره 7، تهران 1384.</w:t>
      </w:r>
    </w:p>
    <w:p w:rsidR="008721E2" w:rsidRPr="008721E2" w:rsidRDefault="008721E2"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افتخار جهرمی، گودرز،</w:t>
      </w:r>
      <w:r>
        <w:rPr>
          <w:rFonts w:hint="cs"/>
          <w:sz w:val="24"/>
          <w:szCs w:val="24"/>
          <w:rtl/>
          <w:lang w:bidi="fa-IR"/>
        </w:rPr>
        <w:t xml:space="preserve"> «</w:t>
      </w:r>
      <w:r w:rsidRPr="00226F0F">
        <w:rPr>
          <w:rFonts w:hint="cs"/>
          <w:sz w:val="24"/>
          <w:szCs w:val="24"/>
          <w:rtl/>
          <w:lang w:bidi="fa-IR"/>
        </w:rPr>
        <w:t xml:space="preserve">دیوان داوری دعاوی ایران-آمریکا»، </w:t>
      </w:r>
      <w:r w:rsidRPr="00226F0F">
        <w:rPr>
          <w:rFonts w:hint="cs"/>
          <w:b/>
          <w:bCs/>
          <w:sz w:val="24"/>
          <w:szCs w:val="24"/>
          <w:rtl/>
          <w:lang w:bidi="fa-IR"/>
        </w:rPr>
        <w:t>مجله حقوقی بین‌المللی</w:t>
      </w:r>
      <w:r w:rsidRPr="00226F0F">
        <w:rPr>
          <w:rFonts w:hint="cs"/>
          <w:sz w:val="24"/>
          <w:szCs w:val="24"/>
          <w:rtl/>
          <w:lang w:bidi="fa-IR"/>
        </w:rPr>
        <w:t>، شماره 16 و 17،تهران1371-1372.</w:t>
      </w:r>
    </w:p>
    <w:p w:rsidR="00817FF6" w:rsidRPr="00226F0F" w:rsidRDefault="00817FF6"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rPr>
        <w:t xml:space="preserve">ایرانشاهی، علی‌رضا، «بررسی معیار نظم عمومی»، </w:t>
      </w:r>
      <w:r w:rsidRPr="00226F0F">
        <w:rPr>
          <w:rFonts w:hint="cs"/>
          <w:b/>
          <w:bCs/>
          <w:sz w:val="24"/>
          <w:szCs w:val="24"/>
          <w:rtl/>
        </w:rPr>
        <w:t>مجله حقوقی بین‌المللی</w:t>
      </w:r>
      <w:r w:rsidRPr="00226F0F">
        <w:rPr>
          <w:rFonts w:hint="cs"/>
          <w:sz w:val="24"/>
          <w:szCs w:val="24"/>
          <w:rtl/>
        </w:rPr>
        <w:t>، شماره 44، تهران،1390.</w:t>
      </w:r>
    </w:p>
    <w:p w:rsidR="00817FF6" w:rsidRPr="00817FF6" w:rsidRDefault="00817FF6"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بنی‌هاشمی، پگاه، </w:t>
      </w:r>
      <w:r w:rsidRPr="00226F0F">
        <w:rPr>
          <w:rFonts w:hint="cs"/>
          <w:b/>
          <w:bCs/>
          <w:sz w:val="24"/>
          <w:szCs w:val="24"/>
          <w:rtl/>
          <w:lang w:bidi="fa-IR"/>
        </w:rPr>
        <w:t>موانع شناسایی و اجرای آرای خارجی و بین‌المللی در ایران</w:t>
      </w:r>
      <w:r w:rsidRPr="00226F0F">
        <w:rPr>
          <w:rFonts w:hint="cs"/>
          <w:sz w:val="24"/>
          <w:szCs w:val="24"/>
          <w:rtl/>
          <w:lang w:bidi="fa-IR"/>
        </w:rPr>
        <w:t>، کارشناسی ارشد حقوق تجارت بین‌الملل، دانشگاه شهید بهشتی، 1389.</w:t>
      </w:r>
    </w:p>
    <w:p w:rsidR="00EE7E3C" w:rsidRDefault="00EE7E3C" w:rsidP="003F13D7">
      <w:pPr>
        <w:pStyle w:val="ListParagraph"/>
        <w:numPr>
          <w:ilvl w:val="0"/>
          <w:numId w:val="6"/>
        </w:numPr>
        <w:tabs>
          <w:tab w:val="right" w:pos="360"/>
        </w:tabs>
        <w:bidi/>
        <w:spacing w:after="200" w:line="276" w:lineRule="auto"/>
        <w:ind w:left="0" w:firstLine="0"/>
        <w:jc w:val="left"/>
        <w:rPr>
          <w:sz w:val="24"/>
          <w:szCs w:val="24"/>
        </w:rPr>
      </w:pPr>
      <w:r w:rsidRPr="00EE7E3C">
        <w:rPr>
          <w:sz w:val="24"/>
          <w:szCs w:val="24"/>
          <w:rtl/>
        </w:rPr>
        <w:lastRenderedPageBreak/>
        <w:t>جن</w:t>
      </w:r>
      <w:r w:rsidRPr="00EE7E3C">
        <w:rPr>
          <w:rFonts w:hint="cs"/>
          <w:sz w:val="24"/>
          <w:szCs w:val="24"/>
          <w:rtl/>
        </w:rPr>
        <w:t>ی</w:t>
      </w:r>
      <w:r w:rsidRPr="00EE7E3C">
        <w:rPr>
          <w:rFonts w:hint="eastAsia"/>
          <w:sz w:val="24"/>
          <w:szCs w:val="24"/>
          <w:rtl/>
        </w:rPr>
        <w:t>د</w:t>
      </w:r>
      <w:r w:rsidRPr="00EE7E3C">
        <w:rPr>
          <w:rFonts w:hint="cs"/>
          <w:sz w:val="24"/>
          <w:szCs w:val="24"/>
          <w:rtl/>
        </w:rPr>
        <w:t>ی</w:t>
      </w:r>
      <w:r w:rsidRPr="00EE7E3C">
        <w:rPr>
          <w:rFonts w:hint="eastAsia"/>
          <w:sz w:val="24"/>
          <w:szCs w:val="24"/>
          <w:rtl/>
        </w:rPr>
        <w:t>،</w:t>
      </w:r>
      <w:r w:rsidRPr="00EE7E3C">
        <w:rPr>
          <w:sz w:val="24"/>
          <w:szCs w:val="24"/>
          <w:rtl/>
        </w:rPr>
        <w:t xml:space="preserve"> لع</w:t>
      </w:r>
      <w:r w:rsidRPr="00EE7E3C">
        <w:rPr>
          <w:rFonts w:hint="cs"/>
          <w:sz w:val="24"/>
          <w:szCs w:val="24"/>
          <w:rtl/>
        </w:rPr>
        <w:t>ی</w:t>
      </w:r>
      <w:r w:rsidRPr="00EE7E3C">
        <w:rPr>
          <w:rFonts w:hint="eastAsia"/>
          <w:sz w:val="24"/>
          <w:szCs w:val="24"/>
          <w:rtl/>
        </w:rPr>
        <w:t>ا،</w:t>
      </w:r>
      <w:r w:rsidRPr="00EE7E3C">
        <w:rPr>
          <w:sz w:val="24"/>
          <w:szCs w:val="24"/>
          <w:rtl/>
        </w:rPr>
        <w:t xml:space="preserve"> «کنوانس</w:t>
      </w:r>
      <w:r w:rsidRPr="00EE7E3C">
        <w:rPr>
          <w:rFonts w:hint="cs"/>
          <w:sz w:val="24"/>
          <w:szCs w:val="24"/>
          <w:rtl/>
        </w:rPr>
        <w:t>ی</w:t>
      </w:r>
      <w:r w:rsidRPr="00EE7E3C">
        <w:rPr>
          <w:rFonts w:hint="eastAsia"/>
          <w:sz w:val="24"/>
          <w:szCs w:val="24"/>
          <w:rtl/>
        </w:rPr>
        <w:t>ون</w:t>
      </w:r>
      <w:r w:rsidRPr="00EE7E3C">
        <w:rPr>
          <w:sz w:val="24"/>
          <w:szCs w:val="24"/>
          <w:rtl/>
        </w:rPr>
        <w:t xml:space="preserve"> ن</w:t>
      </w:r>
      <w:r w:rsidRPr="00EE7E3C">
        <w:rPr>
          <w:rFonts w:hint="cs"/>
          <w:sz w:val="24"/>
          <w:szCs w:val="24"/>
          <w:rtl/>
        </w:rPr>
        <w:t>ی</w:t>
      </w:r>
      <w:r w:rsidRPr="00EE7E3C">
        <w:rPr>
          <w:rFonts w:hint="eastAsia"/>
          <w:sz w:val="24"/>
          <w:szCs w:val="24"/>
          <w:rtl/>
        </w:rPr>
        <w:t>و</w:t>
      </w:r>
      <w:r w:rsidRPr="00EE7E3C">
        <w:rPr>
          <w:rFonts w:hint="cs"/>
          <w:sz w:val="24"/>
          <w:szCs w:val="24"/>
          <w:rtl/>
        </w:rPr>
        <w:t>ی</w:t>
      </w:r>
      <w:r w:rsidRPr="00EE7E3C">
        <w:rPr>
          <w:rFonts w:hint="eastAsia"/>
          <w:sz w:val="24"/>
          <w:szCs w:val="24"/>
          <w:rtl/>
        </w:rPr>
        <w:t>ورک</w:t>
      </w:r>
      <w:r w:rsidRPr="00EE7E3C">
        <w:rPr>
          <w:sz w:val="24"/>
          <w:szCs w:val="24"/>
          <w:rtl/>
        </w:rPr>
        <w:t xml:space="preserve"> و رژ</w:t>
      </w:r>
      <w:r w:rsidRPr="00EE7E3C">
        <w:rPr>
          <w:rFonts w:hint="cs"/>
          <w:sz w:val="24"/>
          <w:szCs w:val="24"/>
          <w:rtl/>
        </w:rPr>
        <w:t>ی</w:t>
      </w:r>
      <w:r w:rsidRPr="00EE7E3C">
        <w:rPr>
          <w:rFonts w:hint="eastAsia"/>
          <w:sz w:val="24"/>
          <w:szCs w:val="24"/>
          <w:rtl/>
        </w:rPr>
        <w:t>م</w:t>
      </w:r>
      <w:r w:rsidRPr="00EE7E3C">
        <w:rPr>
          <w:sz w:val="24"/>
          <w:szCs w:val="24"/>
          <w:rtl/>
        </w:rPr>
        <w:t xml:space="preserve"> اجرا</w:t>
      </w:r>
      <w:r w:rsidRPr="00EE7E3C">
        <w:rPr>
          <w:rFonts w:hint="cs"/>
          <w:sz w:val="24"/>
          <w:szCs w:val="24"/>
          <w:rtl/>
        </w:rPr>
        <w:t>یی</w:t>
      </w:r>
      <w:r w:rsidRPr="00EE7E3C">
        <w:rPr>
          <w:sz w:val="24"/>
          <w:szCs w:val="24"/>
          <w:rtl/>
        </w:rPr>
        <w:t xml:space="preserve"> آن»، </w:t>
      </w:r>
      <w:r w:rsidRPr="00EF61C2">
        <w:rPr>
          <w:b/>
          <w:bCs/>
          <w:sz w:val="24"/>
          <w:szCs w:val="24"/>
          <w:rtl/>
        </w:rPr>
        <w:t>مجله حقوق تطب</w:t>
      </w:r>
      <w:r w:rsidRPr="00EF61C2">
        <w:rPr>
          <w:rFonts w:hint="cs"/>
          <w:b/>
          <w:bCs/>
          <w:sz w:val="24"/>
          <w:szCs w:val="24"/>
          <w:rtl/>
        </w:rPr>
        <w:t>ی</w:t>
      </w:r>
      <w:r w:rsidRPr="00EF61C2">
        <w:rPr>
          <w:rFonts w:hint="eastAsia"/>
          <w:b/>
          <w:bCs/>
          <w:sz w:val="24"/>
          <w:szCs w:val="24"/>
          <w:rtl/>
        </w:rPr>
        <w:t>ق</w:t>
      </w:r>
      <w:r w:rsidRPr="00EF61C2">
        <w:rPr>
          <w:rFonts w:hint="cs"/>
          <w:b/>
          <w:bCs/>
          <w:sz w:val="24"/>
          <w:szCs w:val="24"/>
          <w:rtl/>
        </w:rPr>
        <w:t>ی</w:t>
      </w:r>
      <w:r w:rsidRPr="00EE7E3C">
        <w:rPr>
          <w:rFonts w:hint="eastAsia"/>
          <w:sz w:val="24"/>
          <w:szCs w:val="24"/>
          <w:rtl/>
        </w:rPr>
        <w:t>،</w:t>
      </w:r>
      <w:r w:rsidRPr="00EE7E3C">
        <w:rPr>
          <w:sz w:val="24"/>
          <w:szCs w:val="24"/>
          <w:rtl/>
        </w:rPr>
        <w:t xml:space="preserve"> دوره 2، شماره 1، بهار و تابستان 1390.</w:t>
      </w:r>
    </w:p>
    <w:p w:rsidR="00817FF6" w:rsidRPr="00226F0F" w:rsidRDefault="00817FF6"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حبیب زاده، محمد جعفر، «رژیم قانونی بودن حقوق کیفری عامل مؤثر در رشد و توسعه»، </w:t>
      </w:r>
      <w:r w:rsidRPr="00226F0F">
        <w:rPr>
          <w:rFonts w:hint="cs"/>
          <w:b/>
          <w:bCs/>
          <w:sz w:val="24"/>
          <w:szCs w:val="24"/>
          <w:rtl/>
          <w:lang w:bidi="fa-IR"/>
        </w:rPr>
        <w:t>مجله حقوقی و قضایی دادگستری</w:t>
      </w:r>
      <w:r w:rsidRPr="00226F0F">
        <w:rPr>
          <w:rFonts w:hint="cs"/>
          <w:sz w:val="24"/>
          <w:szCs w:val="24"/>
          <w:rtl/>
          <w:lang w:bidi="fa-IR"/>
        </w:rPr>
        <w:t>، شماره 23، تابستان 1377.</w:t>
      </w:r>
    </w:p>
    <w:p w:rsidR="00EE7E3C" w:rsidRDefault="00817FF6"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درن، ایو، «نظم عمومی و حقوق قابل اجرا در ماهیت دعوی در داوری بین‌المللی»، ترجمه و تلخیص محمد اشتری، </w:t>
      </w:r>
      <w:r w:rsidRPr="00226F0F">
        <w:rPr>
          <w:rFonts w:hint="cs"/>
          <w:b/>
          <w:bCs/>
          <w:sz w:val="24"/>
          <w:szCs w:val="24"/>
          <w:rtl/>
          <w:lang w:bidi="fa-IR"/>
        </w:rPr>
        <w:t>مجله حقوقی بین‌المللی</w:t>
      </w:r>
      <w:r w:rsidRPr="00226F0F">
        <w:rPr>
          <w:rFonts w:hint="cs"/>
          <w:sz w:val="24"/>
          <w:szCs w:val="24"/>
          <w:rtl/>
          <w:lang w:bidi="fa-IR"/>
        </w:rPr>
        <w:t>، شماره 9، تهران 1369.</w:t>
      </w:r>
    </w:p>
    <w:p w:rsidR="008721E2" w:rsidRPr="00226F0F" w:rsidRDefault="008721E2"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صادقی، محسن، «مفهوم و اعمال نظم عمومی در مراجع قضایی و شبه قضایی و جلوه‌های نوین آن»، </w:t>
      </w:r>
      <w:r w:rsidRPr="00226F0F">
        <w:rPr>
          <w:rFonts w:hint="cs"/>
          <w:b/>
          <w:bCs/>
          <w:sz w:val="24"/>
          <w:szCs w:val="24"/>
          <w:rtl/>
          <w:lang w:bidi="fa-IR"/>
        </w:rPr>
        <w:t>فصلنامه دانشکده حقوق و علوم سیاسی</w:t>
      </w:r>
      <w:r w:rsidRPr="00226F0F">
        <w:rPr>
          <w:rFonts w:hint="cs"/>
          <w:sz w:val="24"/>
          <w:szCs w:val="24"/>
          <w:rtl/>
          <w:lang w:bidi="fa-IR"/>
        </w:rPr>
        <w:t>، شماره 68، دانشگاه تهران، 1384.</w:t>
      </w:r>
    </w:p>
    <w:p w:rsidR="008721E2" w:rsidRPr="00226F0F" w:rsidRDefault="008721E2" w:rsidP="003F13D7">
      <w:pPr>
        <w:pStyle w:val="ListParagraph"/>
        <w:numPr>
          <w:ilvl w:val="0"/>
          <w:numId w:val="6"/>
        </w:numPr>
        <w:tabs>
          <w:tab w:val="right" w:pos="360"/>
        </w:tabs>
        <w:bidi/>
        <w:spacing w:after="200" w:line="276" w:lineRule="auto"/>
        <w:ind w:left="0" w:firstLine="0"/>
        <w:jc w:val="left"/>
        <w:rPr>
          <w:sz w:val="24"/>
          <w:szCs w:val="24"/>
        </w:rPr>
      </w:pPr>
      <w:r w:rsidRPr="00226F0F">
        <w:rPr>
          <w:rFonts w:hint="cs"/>
          <w:sz w:val="24"/>
          <w:szCs w:val="24"/>
          <w:rtl/>
          <w:lang w:bidi="fa-IR"/>
        </w:rPr>
        <w:t xml:space="preserve">غمامی، محمد مهدی، «مطالعه تطبیقی نظم عمومی و خط‌ مشی عمومی در نظام‌های حقوقی موضوعه و آنگلوساکسون»، </w:t>
      </w:r>
      <w:r w:rsidRPr="006C7EE0">
        <w:rPr>
          <w:rFonts w:hint="cs"/>
          <w:b/>
          <w:bCs/>
          <w:sz w:val="24"/>
          <w:szCs w:val="24"/>
          <w:rtl/>
          <w:lang w:bidi="fa-IR"/>
        </w:rPr>
        <w:t>پژوهشنامه حقوق اسلامی</w:t>
      </w:r>
      <w:r w:rsidRPr="00226F0F">
        <w:rPr>
          <w:rFonts w:hint="cs"/>
          <w:sz w:val="24"/>
          <w:szCs w:val="24"/>
          <w:rtl/>
          <w:lang w:bidi="fa-IR"/>
        </w:rPr>
        <w:t>، شماره 37، دانشگاه امام صادق، تهران 1392.</w:t>
      </w:r>
    </w:p>
    <w:p w:rsidR="008721E2" w:rsidRPr="008721E2" w:rsidRDefault="008721E2" w:rsidP="003F13D7">
      <w:pPr>
        <w:pStyle w:val="ListParagraph"/>
        <w:numPr>
          <w:ilvl w:val="0"/>
          <w:numId w:val="6"/>
        </w:numPr>
        <w:tabs>
          <w:tab w:val="right" w:pos="360"/>
        </w:tabs>
        <w:bidi/>
        <w:spacing w:after="200" w:line="276" w:lineRule="auto"/>
        <w:ind w:left="0" w:firstLine="0"/>
        <w:jc w:val="left"/>
        <w:rPr>
          <w:sz w:val="24"/>
          <w:szCs w:val="24"/>
          <w:rtl/>
        </w:rPr>
      </w:pPr>
      <w:r w:rsidRPr="00226F0F">
        <w:rPr>
          <w:rFonts w:hint="cs"/>
          <w:sz w:val="24"/>
          <w:szCs w:val="24"/>
          <w:rtl/>
          <w:lang w:bidi="fa-IR"/>
        </w:rPr>
        <w:t xml:space="preserve">کسجیان، کاترین، «نظم عمومی در حقوق اروپا»، مترجم فیض‌الله جعفری، </w:t>
      </w:r>
      <w:r w:rsidRPr="00226F0F">
        <w:rPr>
          <w:rFonts w:hint="cs"/>
          <w:b/>
          <w:bCs/>
          <w:sz w:val="24"/>
          <w:szCs w:val="24"/>
          <w:rtl/>
          <w:lang w:bidi="fa-IR"/>
        </w:rPr>
        <w:t>مجله حقوقی بین‌المللی</w:t>
      </w:r>
      <w:r w:rsidRPr="00226F0F">
        <w:rPr>
          <w:rFonts w:hint="cs"/>
          <w:sz w:val="24"/>
          <w:szCs w:val="24"/>
          <w:rtl/>
          <w:lang w:bidi="fa-IR"/>
        </w:rPr>
        <w:t>، شماره 38، تهران 1387.</w:t>
      </w:r>
    </w:p>
    <w:p w:rsidR="009E32D4" w:rsidRDefault="00F95D69" w:rsidP="003F13D7">
      <w:pPr>
        <w:pStyle w:val="ListParagraph"/>
        <w:numPr>
          <w:ilvl w:val="0"/>
          <w:numId w:val="1"/>
        </w:numPr>
        <w:tabs>
          <w:tab w:val="right" w:pos="360"/>
        </w:tabs>
        <w:bidi/>
        <w:spacing w:after="200" w:line="276" w:lineRule="auto"/>
        <w:ind w:left="0" w:firstLine="0"/>
        <w:jc w:val="left"/>
        <w:rPr>
          <w:sz w:val="24"/>
          <w:szCs w:val="24"/>
        </w:rPr>
      </w:pPr>
      <w:r w:rsidRPr="008721E2">
        <w:rPr>
          <w:rFonts w:hint="cs"/>
          <w:sz w:val="24"/>
          <w:szCs w:val="24"/>
          <w:rtl/>
        </w:rPr>
        <w:t>محبی،</w:t>
      </w:r>
      <w:r w:rsidR="005704A3" w:rsidRPr="008721E2">
        <w:rPr>
          <w:rFonts w:hint="cs"/>
          <w:sz w:val="24"/>
          <w:szCs w:val="24"/>
          <w:rtl/>
        </w:rPr>
        <w:t xml:space="preserve"> </w:t>
      </w:r>
      <w:r w:rsidRPr="008721E2">
        <w:rPr>
          <w:rFonts w:hint="cs"/>
          <w:sz w:val="24"/>
          <w:szCs w:val="24"/>
          <w:rtl/>
        </w:rPr>
        <w:t>محسن</w:t>
      </w:r>
      <w:r w:rsidR="009E32D4" w:rsidRPr="008721E2">
        <w:rPr>
          <w:rFonts w:hint="cs"/>
          <w:sz w:val="24"/>
          <w:szCs w:val="24"/>
          <w:rtl/>
        </w:rPr>
        <w:t xml:space="preserve">، «امتیازات داوری از حیث اجرای رأی داوری»، </w:t>
      </w:r>
      <w:r w:rsidR="009E32D4" w:rsidRPr="008721E2">
        <w:rPr>
          <w:rFonts w:hint="cs"/>
          <w:b/>
          <w:bCs/>
          <w:sz w:val="24"/>
          <w:szCs w:val="24"/>
          <w:rtl/>
        </w:rPr>
        <w:t>مرکز داوری اتاق داوری بازرگانی ایران</w:t>
      </w:r>
      <w:r w:rsidR="009E32D4" w:rsidRPr="008721E2">
        <w:rPr>
          <w:rFonts w:hint="cs"/>
          <w:sz w:val="24"/>
          <w:szCs w:val="24"/>
          <w:rtl/>
        </w:rPr>
        <w:t>، تهران 1382.</w:t>
      </w:r>
    </w:p>
    <w:p w:rsidR="00D64181" w:rsidRPr="00D64181" w:rsidRDefault="00D64181" w:rsidP="003F13D7">
      <w:pPr>
        <w:pStyle w:val="ListParagraph"/>
        <w:numPr>
          <w:ilvl w:val="0"/>
          <w:numId w:val="1"/>
        </w:numPr>
        <w:tabs>
          <w:tab w:val="right" w:pos="360"/>
        </w:tabs>
        <w:bidi/>
        <w:spacing w:after="200" w:line="276" w:lineRule="auto"/>
        <w:ind w:left="0" w:firstLine="0"/>
        <w:jc w:val="left"/>
        <w:rPr>
          <w:sz w:val="24"/>
          <w:szCs w:val="24"/>
        </w:rPr>
      </w:pPr>
      <w:r w:rsidRPr="008721E2">
        <w:rPr>
          <w:rFonts w:hint="cs"/>
          <w:sz w:val="24"/>
          <w:szCs w:val="24"/>
          <w:rtl/>
          <w:lang w:bidi="fa-IR"/>
        </w:rPr>
        <w:t xml:space="preserve">محمدزاده، رضا، </w:t>
      </w:r>
      <w:r w:rsidRPr="008721E2">
        <w:rPr>
          <w:rFonts w:hint="cs"/>
          <w:b/>
          <w:bCs/>
          <w:sz w:val="24"/>
          <w:szCs w:val="24"/>
          <w:rtl/>
          <w:lang w:bidi="fa-IR"/>
        </w:rPr>
        <w:t>نظم عمومی در حقوق کیفری</w:t>
      </w:r>
      <w:r w:rsidRPr="008721E2">
        <w:rPr>
          <w:rFonts w:hint="cs"/>
          <w:sz w:val="24"/>
          <w:szCs w:val="24"/>
          <w:rtl/>
          <w:lang w:bidi="fa-IR"/>
        </w:rPr>
        <w:t>، پایان‌نامه کارشناسی ارشد، دانشگاه شهید بهشتی، تهران 1377.</w:t>
      </w:r>
    </w:p>
    <w:p w:rsidR="009E32D4" w:rsidRDefault="009E32D4" w:rsidP="003F13D7">
      <w:pPr>
        <w:pStyle w:val="ListParagraph"/>
        <w:numPr>
          <w:ilvl w:val="0"/>
          <w:numId w:val="1"/>
        </w:numPr>
        <w:tabs>
          <w:tab w:val="right" w:pos="360"/>
        </w:tabs>
        <w:bidi/>
        <w:spacing w:after="200" w:line="276" w:lineRule="auto"/>
        <w:ind w:left="0" w:firstLine="0"/>
        <w:jc w:val="left"/>
        <w:rPr>
          <w:sz w:val="24"/>
          <w:szCs w:val="24"/>
        </w:rPr>
      </w:pPr>
      <w:r w:rsidRPr="00226F0F">
        <w:rPr>
          <w:rFonts w:hint="cs"/>
          <w:sz w:val="24"/>
          <w:szCs w:val="24"/>
          <w:rtl/>
          <w:lang w:bidi="fa-IR"/>
        </w:rPr>
        <w:t xml:space="preserve">مدنیان ،غلام‌رضاو دیگران، «امکان یا امتناع تبیین نظم عمومی در حقوق (مطالعه در حقوق کشورهای ایران، انگلیس و فرانسه) »، </w:t>
      </w:r>
      <w:r w:rsidRPr="00EF61C2">
        <w:rPr>
          <w:rFonts w:hint="cs"/>
          <w:b/>
          <w:bCs/>
          <w:sz w:val="24"/>
          <w:szCs w:val="24"/>
          <w:rtl/>
          <w:lang w:bidi="fa-IR"/>
        </w:rPr>
        <w:t>فصلنامه پژوهش‌های حقوق تطبیقی</w:t>
      </w:r>
      <w:r w:rsidRPr="00226F0F">
        <w:rPr>
          <w:rFonts w:hint="cs"/>
          <w:sz w:val="24"/>
          <w:szCs w:val="24"/>
          <w:rtl/>
          <w:lang w:bidi="fa-IR"/>
        </w:rPr>
        <w:t>، دوره 15، شماره 3، دانشگاه تربیت مدرس، تهران 1390.</w:t>
      </w:r>
    </w:p>
    <w:p w:rsidR="0080264C" w:rsidRDefault="0080264C" w:rsidP="003F13D7">
      <w:pPr>
        <w:pStyle w:val="ListParagraph"/>
        <w:numPr>
          <w:ilvl w:val="0"/>
          <w:numId w:val="1"/>
        </w:numPr>
        <w:tabs>
          <w:tab w:val="right" w:pos="360"/>
        </w:tabs>
        <w:bidi/>
        <w:spacing w:after="200" w:line="276" w:lineRule="auto"/>
        <w:ind w:left="0" w:firstLine="0"/>
        <w:jc w:val="left"/>
        <w:rPr>
          <w:sz w:val="24"/>
          <w:szCs w:val="24"/>
        </w:rPr>
      </w:pPr>
      <w:r w:rsidRPr="0080264C">
        <w:rPr>
          <w:rFonts w:hint="cs"/>
          <w:sz w:val="24"/>
          <w:szCs w:val="24"/>
          <w:rtl/>
        </w:rPr>
        <w:t xml:space="preserve">مرسلی، یدالله، </w:t>
      </w:r>
      <w:r w:rsidRPr="0080264C">
        <w:rPr>
          <w:rFonts w:hint="cs"/>
          <w:b/>
          <w:bCs/>
          <w:sz w:val="24"/>
          <w:szCs w:val="24"/>
          <w:rtl/>
        </w:rPr>
        <w:t>نظم عمومی در اعمال</w:t>
      </w:r>
      <w:r w:rsidRPr="0080264C">
        <w:rPr>
          <w:rFonts w:hint="cs"/>
          <w:sz w:val="24"/>
          <w:szCs w:val="24"/>
          <w:rtl/>
        </w:rPr>
        <w:t xml:space="preserve"> </w:t>
      </w:r>
      <w:r w:rsidRPr="0080264C">
        <w:rPr>
          <w:rFonts w:hint="cs"/>
          <w:b/>
          <w:bCs/>
          <w:sz w:val="24"/>
          <w:szCs w:val="24"/>
          <w:rtl/>
        </w:rPr>
        <w:t>حقوقی</w:t>
      </w:r>
      <w:r w:rsidRPr="0080264C">
        <w:rPr>
          <w:rFonts w:hint="cs"/>
          <w:sz w:val="24"/>
          <w:szCs w:val="24"/>
          <w:rtl/>
        </w:rPr>
        <w:t>، پایان‌نامه کارشناسی ارشد، دانشگاه تهران، 1380.</w:t>
      </w:r>
    </w:p>
    <w:p w:rsidR="009E32D4" w:rsidRDefault="0080264C" w:rsidP="003F13D7">
      <w:pPr>
        <w:pStyle w:val="ListParagraph"/>
        <w:numPr>
          <w:ilvl w:val="0"/>
          <w:numId w:val="1"/>
        </w:numPr>
        <w:tabs>
          <w:tab w:val="right" w:pos="360"/>
        </w:tabs>
        <w:bidi/>
        <w:spacing w:after="200" w:line="276" w:lineRule="auto"/>
        <w:ind w:left="0" w:firstLine="0"/>
        <w:jc w:val="left"/>
        <w:rPr>
          <w:sz w:val="24"/>
          <w:szCs w:val="24"/>
        </w:rPr>
      </w:pPr>
      <w:r w:rsidRPr="0080264C">
        <w:rPr>
          <w:sz w:val="24"/>
          <w:szCs w:val="24"/>
          <w:rtl/>
        </w:rPr>
        <w:t>مکرم</w:t>
      </w:r>
      <w:r w:rsidRPr="0080264C">
        <w:rPr>
          <w:rFonts w:hint="cs"/>
          <w:sz w:val="24"/>
          <w:szCs w:val="24"/>
          <w:rtl/>
        </w:rPr>
        <w:t>ی</w:t>
      </w:r>
      <w:r w:rsidRPr="0080264C">
        <w:rPr>
          <w:rFonts w:hint="eastAsia"/>
          <w:sz w:val="24"/>
          <w:szCs w:val="24"/>
          <w:rtl/>
        </w:rPr>
        <w:t>،</w:t>
      </w:r>
      <w:r w:rsidRPr="0080264C">
        <w:rPr>
          <w:sz w:val="24"/>
          <w:szCs w:val="24"/>
          <w:rtl/>
        </w:rPr>
        <w:t xml:space="preserve"> عل</w:t>
      </w:r>
      <w:r w:rsidRPr="0080264C">
        <w:rPr>
          <w:rFonts w:hint="cs"/>
          <w:sz w:val="24"/>
          <w:szCs w:val="24"/>
          <w:rtl/>
        </w:rPr>
        <w:t>ی</w:t>
      </w:r>
      <w:r w:rsidRPr="0080264C">
        <w:rPr>
          <w:rFonts w:hint="eastAsia"/>
          <w:sz w:val="24"/>
          <w:szCs w:val="24"/>
          <w:rtl/>
        </w:rPr>
        <w:t>محمد،</w:t>
      </w:r>
      <w:r w:rsidRPr="0080264C">
        <w:rPr>
          <w:sz w:val="24"/>
          <w:szCs w:val="24"/>
          <w:rtl/>
        </w:rPr>
        <w:t xml:space="preserve"> «شناسا</w:t>
      </w:r>
      <w:r w:rsidRPr="0080264C">
        <w:rPr>
          <w:rFonts w:hint="cs"/>
          <w:sz w:val="24"/>
          <w:szCs w:val="24"/>
          <w:rtl/>
        </w:rPr>
        <w:t>یی</w:t>
      </w:r>
      <w:r w:rsidRPr="0080264C">
        <w:rPr>
          <w:sz w:val="24"/>
          <w:szCs w:val="24"/>
          <w:rtl/>
        </w:rPr>
        <w:t xml:space="preserve"> و اجرا</w:t>
      </w:r>
      <w:r w:rsidRPr="0080264C">
        <w:rPr>
          <w:rFonts w:hint="cs"/>
          <w:sz w:val="24"/>
          <w:szCs w:val="24"/>
          <w:rtl/>
        </w:rPr>
        <w:t>ی</w:t>
      </w:r>
      <w:r w:rsidRPr="0080264C">
        <w:rPr>
          <w:sz w:val="24"/>
          <w:szCs w:val="24"/>
          <w:rtl/>
        </w:rPr>
        <w:t xml:space="preserve"> آراء داور</w:t>
      </w:r>
      <w:r w:rsidRPr="0080264C">
        <w:rPr>
          <w:rFonts w:hint="cs"/>
          <w:sz w:val="24"/>
          <w:szCs w:val="24"/>
          <w:rtl/>
        </w:rPr>
        <w:t>ی</w:t>
      </w:r>
      <w:r w:rsidRPr="0080264C">
        <w:rPr>
          <w:rFonts w:hint="eastAsia"/>
          <w:sz w:val="24"/>
          <w:szCs w:val="24"/>
          <w:rtl/>
        </w:rPr>
        <w:t>ها</w:t>
      </w:r>
      <w:r w:rsidRPr="0080264C">
        <w:rPr>
          <w:rFonts w:hint="cs"/>
          <w:sz w:val="24"/>
          <w:szCs w:val="24"/>
          <w:rtl/>
        </w:rPr>
        <w:t>ی</w:t>
      </w:r>
      <w:r w:rsidRPr="0080264C">
        <w:rPr>
          <w:sz w:val="24"/>
          <w:szCs w:val="24"/>
          <w:rtl/>
        </w:rPr>
        <w:t xml:space="preserve"> خارج</w:t>
      </w:r>
      <w:r w:rsidRPr="0080264C">
        <w:rPr>
          <w:rFonts w:hint="cs"/>
          <w:sz w:val="24"/>
          <w:szCs w:val="24"/>
          <w:rtl/>
        </w:rPr>
        <w:t>ی</w:t>
      </w:r>
      <w:r w:rsidRPr="0080264C">
        <w:rPr>
          <w:sz w:val="24"/>
          <w:szCs w:val="24"/>
          <w:rtl/>
        </w:rPr>
        <w:t xml:space="preserve"> در حقوق ا</w:t>
      </w:r>
      <w:r w:rsidRPr="0080264C">
        <w:rPr>
          <w:rFonts w:hint="cs"/>
          <w:sz w:val="24"/>
          <w:szCs w:val="24"/>
          <w:rtl/>
        </w:rPr>
        <w:t>ی</w:t>
      </w:r>
      <w:r w:rsidRPr="0080264C">
        <w:rPr>
          <w:rFonts w:hint="eastAsia"/>
          <w:sz w:val="24"/>
          <w:szCs w:val="24"/>
          <w:rtl/>
        </w:rPr>
        <w:t>ران»،</w:t>
      </w:r>
      <w:r w:rsidRPr="0080264C">
        <w:rPr>
          <w:rFonts w:hint="cs"/>
          <w:sz w:val="24"/>
          <w:szCs w:val="24"/>
          <w:rtl/>
        </w:rPr>
        <w:t xml:space="preserve"> </w:t>
      </w:r>
      <w:r w:rsidRPr="0080264C">
        <w:rPr>
          <w:rFonts w:hint="eastAsia"/>
          <w:b/>
          <w:bCs/>
          <w:sz w:val="24"/>
          <w:szCs w:val="24"/>
          <w:rtl/>
        </w:rPr>
        <w:t>فصلنامه</w:t>
      </w:r>
      <w:r w:rsidRPr="0080264C">
        <w:rPr>
          <w:b/>
          <w:bCs/>
          <w:sz w:val="24"/>
          <w:szCs w:val="24"/>
          <w:rtl/>
        </w:rPr>
        <w:t xml:space="preserve"> د</w:t>
      </w:r>
      <w:r w:rsidRPr="0080264C">
        <w:rPr>
          <w:rFonts w:hint="cs"/>
          <w:b/>
          <w:bCs/>
          <w:sz w:val="24"/>
          <w:szCs w:val="24"/>
          <w:rtl/>
        </w:rPr>
        <w:t>ی</w:t>
      </w:r>
      <w:r w:rsidRPr="0080264C">
        <w:rPr>
          <w:rFonts w:hint="eastAsia"/>
          <w:b/>
          <w:bCs/>
          <w:sz w:val="24"/>
          <w:szCs w:val="24"/>
          <w:rtl/>
        </w:rPr>
        <w:t>دگاهها</w:t>
      </w:r>
      <w:r w:rsidRPr="0080264C">
        <w:rPr>
          <w:rFonts w:hint="cs"/>
          <w:b/>
          <w:bCs/>
          <w:sz w:val="24"/>
          <w:szCs w:val="24"/>
          <w:rtl/>
        </w:rPr>
        <w:t>ی</w:t>
      </w:r>
      <w:r w:rsidRPr="0080264C">
        <w:rPr>
          <w:b/>
          <w:bCs/>
          <w:sz w:val="24"/>
          <w:szCs w:val="24"/>
          <w:rtl/>
        </w:rPr>
        <w:t xml:space="preserve"> حقوق</w:t>
      </w:r>
      <w:r w:rsidRPr="0080264C">
        <w:rPr>
          <w:rFonts w:hint="cs"/>
          <w:b/>
          <w:bCs/>
          <w:sz w:val="24"/>
          <w:szCs w:val="24"/>
          <w:rtl/>
        </w:rPr>
        <w:t>ی</w:t>
      </w:r>
      <w:r w:rsidRPr="0080264C">
        <w:rPr>
          <w:b/>
          <w:bCs/>
          <w:sz w:val="24"/>
          <w:szCs w:val="24"/>
          <w:rtl/>
        </w:rPr>
        <w:t xml:space="preserve"> قضا</w:t>
      </w:r>
      <w:r w:rsidRPr="0080264C">
        <w:rPr>
          <w:rFonts w:hint="cs"/>
          <w:b/>
          <w:bCs/>
          <w:sz w:val="24"/>
          <w:szCs w:val="24"/>
          <w:rtl/>
        </w:rPr>
        <w:t>یی</w:t>
      </w:r>
      <w:r w:rsidRPr="0080264C">
        <w:rPr>
          <w:rFonts w:hint="eastAsia"/>
          <w:sz w:val="24"/>
          <w:szCs w:val="24"/>
          <w:rtl/>
        </w:rPr>
        <w:t>،</w:t>
      </w:r>
      <w:r w:rsidRPr="0080264C">
        <w:rPr>
          <w:sz w:val="24"/>
          <w:szCs w:val="24"/>
          <w:rtl/>
        </w:rPr>
        <w:t xml:space="preserve"> شماره 4،دانشگاه علوم قضا</w:t>
      </w:r>
      <w:r w:rsidRPr="0080264C">
        <w:rPr>
          <w:rFonts w:hint="cs"/>
          <w:sz w:val="24"/>
          <w:szCs w:val="24"/>
          <w:rtl/>
        </w:rPr>
        <w:t>یی</w:t>
      </w:r>
      <w:r w:rsidRPr="0080264C">
        <w:rPr>
          <w:sz w:val="24"/>
          <w:szCs w:val="24"/>
          <w:rtl/>
        </w:rPr>
        <w:t xml:space="preserve"> و خدمات ادار</w:t>
      </w:r>
      <w:r w:rsidRPr="0080264C">
        <w:rPr>
          <w:rFonts w:hint="cs"/>
          <w:sz w:val="24"/>
          <w:szCs w:val="24"/>
          <w:rtl/>
        </w:rPr>
        <w:t>ی</w:t>
      </w:r>
      <w:r w:rsidRPr="0080264C">
        <w:rPr>
          <w:rFonts w:hint="eastAsia"/>
          <w:sz w:val="24"/>
          <w:szCs w:val="24"/>
          <w:rtl/>
        </w:rPr>
        <w:t>،</w:t>
      </w:r>
      <w:r w:rsidRPr="0080264C">
        <w:rPr>
          <w:sz w:val="24"/>
          <w:szCs w:val="24"/>
          <w:rtl/>
        </w:rPr>
        <w:t xml:space="preserve"> تهران 1375.</w:t>
      </w:r>
    </w:p>
    <w:p w:rsidR="00E84722" w:rsidRPr="002C3D79" w:rsidRDefault="00E84722" w:rsidP="00E84722">
      <w:pPr>
        <w:pStyle w:val="ListParagraph"/>
        <w:tabs>
          <w:tab w:val="right" w:pos="360"/>
        </w:tabs>
        <w:bidi/>
        <w:spacing w:after="200" w:line="276" w:lineRule="auto"/>
        <w:ind w:left="0"/>
        <w:jc w:val="left"/>
        <w:rPr>
          <w:sz w:val="24"/>
          <w:szCs w:val="24"/>
          <w:rtl/>
        </w:rPr>
      </w:pPr>
    </w:p>
    <w:p w:rsidR="009E32D4" w:rsidRPr="00E84722" w:rsidRDefault="00117104" w:rsidP="00E84722">
      <w:pPr>
        <w:bidi/>
        <w:jc w:val="left"/>
        <w:rPr>
          <w:b/>
          <w:bCs/>
          <w:sz w:val="30"/>
          <w:szCs w:val="30"/>
          <w:rtl/>
          <w:lang w:bidi="fa-IR"/>
        </w:rPr>
      </w:pPr>
      <w:r>
        <w:rPr>
          <w:rFonts w:hint="cs"/>
          <w:b/>
          <w:bCs/>
          <w:sz w:val="30"/>
          <w:szCs w:val="30"/>
          <w:rtl/>
          <w:lang w:bidi="fa-IR"/>
        </w:rPr>
        <w:lastRenderedPageBreak/>
        <w:t>منابع خارجی</w:t>
      </w:r>
    </w:p>
    <w:p w:rsidR="00C8114A" w:rsidRDefault="00C8114A" w:rsidP="001A1129">
      <w:pPr>
        <w:pStyle w:val="ListParagraph"/>
        <w:spacing w:after="200" w:line="276" w:lineRule="auto"/>
        <w:ind w:left="0"/>
        <w:jc w:val="left"/>
        <w:rPr>
          <w:rFonts w:asciiTheme="minorHAnsi" w:hAnsiTheme="minorHAnsi" w:cstheme="majorBidi"/>
          <w:sz w:val="24"/>
          <w:szCs w:val="24"/>
        </w:rPr>
      </w:pPr>
    </w:p>
    <w:p w:rsidR="006049EF" w:rsidRPr="00CD4BB4" w:rsidRDefault="006A3E02" w:rsidP="003F13D7">
      <w:pPr>
        <w:pStyle w:val="ListParagraph"/>
        <w:numPr>
          <w:ilvl w:val="0"/>
          <w:numId w:val="8"/>
        </w:numPr>
        <w:spacing w:after="200" w:line="276" w:lineRule="auto"/>
        <w:ind w:left="360"/>
        <w:jc w:val="left"/>
        <w:rPr>
          <w:rFonts w:asciiTheme="minorHAnsi" w:hAnsiTheme="minorHAnsi" w:cstheme="majorBidi"/>
          <w:sz w:val="24"/>
          <w:szCs w:val="24"/>
        </w:rPr>
      </w:pPr>
      <w:r w:rsidRPr="00CD4BB4">
        <w:rPr>
          <w:rFonts w:asciiTheme="minorHAnsi" w:hAnsiTheme="minorHAnsi" w:cstheme="majorBidi"/>
          <w:sz w:val="24"/>
          <w:szCs w:val="24"/>
        </w:rPr>
        <w:t>AA. VV., Arbitration Law in Europe, Paris, ICC Services S.A.R.L., 1981</w:t>
      </w:r>
    </w:p>
    <w:p w:rsidR="006049EF" w:rsidRPr="008170DD" w:rsidRDefault="006049EF" w:rsidP="003F13D7">
      <w:pPr>
        <w:pStyle w:val="ListParagraph"/>
        <w:numPr>
          <w:ilvl w:val="0"/>
          <w:numId w:val="8"/>
        </w:numPr>
        <w:spacing w:after="200" w:line="276" w:lineRule="auto"/>
        <w:ind w:left="360"/>
        <w:jc w:val="left"/>
        <w:rPr>
          <w:rFonts w:asciiTheme="minorHAnsi" w:hAnsiTheme="minorHAnsi" w:cstheme="majorBidi"/>
          <w:sz w:val="24"/>
          <w:szCs w:val="24"/>
        </w:rPr>
      </w:pPr>
      <w:r w:rsidRPr="008170DD">
        <w:rPr>
          <w:rFonts w:asciiTheme="minorHAnsi" w:hAnsiTheme="minorHAnsi" w:cstheme="majorBidi"/>
          <w:sz w:val="24"/>
          <w:szCs w:val="24"/>
        </w:rPr>
        <w:t>Anderson, philip, law and morality, 2</w:t>
      </w:r>
      <w:r w:rsidRPr="008170DD">
        <w:rPr>
          <w:rFonts w:asciiTheme="minorHAnsi" w:hAnsiTheme="minorHAnsi" w:cstheme="majorBidi"/>
          <w:sz w:val="24"/>
          <w:szCs w:val="24"/>
          <w:vertAlign w:val="superscript"/>
        </w:rPr>
        <w:t>nd</w:t>
      </w:r>
      <w:r w:rsidRPr="008170DD">
        <w:rPr>
          <w:rFonts w:asciiTheme="minorHAnsi" w:hAnsiTheme="minorHAnsi" w:cstheme="majorBidi"/>
          <w:sz w:val="24"/>
          <w:szCs w:val="24"/>
        </w:rPr>
        <w:t xml:space="preserve"> ed, Oxford University, 2001.</w:t>
      </w:r>
    </w:p>
    <w:p w:rsidR="00CC7AFF" w:rsidRDefault="00CC7AFF" w:rsidP="00A354D2">
      <w:pPr>
        <w:pStyle w:val="ListParagraph"/>
        <w:numPr>
          <w:ilvl w:val="0"/>
          <w:numId w:val="8"/>
        </w:numPr>
        <w:spacing w:after="200" w:line="276" w:lineRule="auto"/>
        <w:ind w:left="360"/>
        <w:jc w:val="left"/>
        <w:rPr>
          <w:rFonts w:asciiTheme="minorHAnsi" w:hAnsiTheme="minorHAnsi" w:cstheme="majorBidi"/>
          <w:sz w:val="24"/>
          <w:szCs w:val="24"/>
        </w:rPr>
      </w:pPr>
      <w:r w:rsidRPr="009D67F5">
        <w:rPr>
          <w:rFonts w:asciiTheme="minorHAnsi" w:hAnsiTheme="minorHAnsi" w:cstheme="majorBidi"/>
          <w:sz w:val="24"/>
          <w:szCs w:val="24"/>
        </w:rPr>
        <w:t>Andrew M. Campbell, Annotation, Refusal to Enforce Foreign Arbitration Awards on Public Policy</w:t>
      </w:r>
      <w:r w:rsidR="00A354D2">
        <w:rPr>
          <w:rFonts w:asciiTheme="minorHAnsi" w:hAnsiTheme="minorHAnsi" w:cstheme="majorBidi"/>
          <w:sz w:val="24"/>
          <w:szCs w:val="24"/>
        </w:rPr>
        <w:t xml:space="preserve"> Grounds, 144 A.L.R. F ED. 481, </w:t>
      </w:r>
      <w:r w:rsidRPr="009D67F5">
        <w:rPr>
          <w:rFonts w:asciiTheme="minorHAnsi" w:hAnsiTheme="minorHAnsi" w:cstheme="majorBidi"/>
          <w:sz w:val="24"/>
          <w:szCs w:val="24"/>
        </w:rPr>
        <w:t>2005.</w:t>
      </w:r>
    </w:p>
    <w:p w:rsidR="00A53A17" w:rsidRPr="00A53A17" w:rsidRDefault="00A53A17" w:rsidP="00A53A17">
      <w:pPr>
        <w:pStyle w:val="ListParagraph"/>
        <w:numPr>
          <w:ilvl w:val="0"/>
          <w:numId w:val="8"/>
        </w:numPr>
        <w:spacing w:after="200" w:line="276" w:lineRule="auto"/>
        <w:ind w:left="360"/>
        <w:jc w:val="left"/>
        <w:rPr>
          <w:rFonts w:asciiTheme="minorHAnsi" w:hAnsiTheme="minorHAnsi" w:cstheme="majorBidi"/>
          <w:sz w:val="24"/>
          <w:szCs w:val="24"/>
        </w:rPr>
      </w:pPr>
      <w:r w:rsidRPr="00A53A17">
        <w:rPr>
          <w:rFonts w:asciiTheme="minorHAnsi" w:hAnsiTheme="minorHAnsi" w:cstheme="majorBidi"/>
          <w:sz w:val="24"/>
          <w:szCs w:val="24"/>
        </w:rPr>
        <w:t>Bale HG, Chitty on Contracts, 28 th edn., Sweet &amp; Maxwell, 1999.</w:t>
      </w:r>
    </w:p>
    <w:p w:rsidR="00524314" w:rsidRDefault="00524314" w:rsidP="00A354D2">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Batiffol and Laga</w:t>
      </w:r>
      <w:r w:rsidR="00A354D2">
        <w:rPr>
          <w:rFonts w:asciiTheme="minorHAnsi" w:hAnsiTheme="minorHAnsi" w:cstheme="majorBidi"/>
          <w:sz w:val="24"/>
          <w:szCs w:val="24"/>
        </w:rPr>
        <w:t xml:space="preserve">rde, Droit International Privé, </w:t>
      </w:r>
      <w:r w:rsidRPr="009913E3">
        <w:rPr>
          <w:rFonts w:asciiTheme="minorHAnsi" w:hAnsiTheme="minorHAnsi" w:cstheme="majorBidi"/>
          <w:sz w:val="24"/>
          <w:szCs w:val="24"/>
        </w:rPr>
        <w:t>8 th edn., 1993.</w:t>
      </w:r>
    </w:p>
    <w:p w:rsidR="003C2C55" w:rsidRPr="009913E3" w:rsidRDefault="003C2C5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Blessing, “Impact of the Extraterritorial</w:t>
      </w:r>
      <w:r w:rsidRPr="009913E3">
        <w:rPr>
          <w:rFonts w:asciiTheme="minorHAnsi" w:hAnsiTheme="minorHAnsi" w:cstheme="majorBidi"/>
          <w:sz w:val="24"/>
          <w:szCs w:val="24"/>
          <w:rtl/>
        </w:rPr>
        <w:t xml:space="preserve"> </w:t>
      </w:r>
      <w:r w:rsidRPr="009913E3">
        <w:rPr>
          <w:rFonts w:asciiTheme="minorHAnsi" w:hAnsiTheme="minorHAnsi" w:cstheme="majorBidi"/>
          <w:sz w:val="24"/>
          <w:szCs w:val="24"/>
        </w:rPr>
        <w:t>Application of Mandatory Rules of Law on International Contracts”, vol. 9 of the Swiss Commercial Law Series, 1999.</w:t>
      </w:r>
    </w:p>
    <w:p w:rsidR="003C2C55" w:rsidRPr="00D96783" w:rsidRDefault="00D96783"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Bishop and Reed, “Practical Guidelines for Interviewing, Selecting and Challenging</w:t>
      </w:r>
      <w:r w:rsidRPr="009913E3">
        <w:rPr>
          <w:rFonts w:asciiTheme="minorHAnsi" w:hAnsiTheme="minorHAnsi" w:cstheme="majorBidi"/>
          <w:sz w:val="24"/>
          <w:szCs w:val="24"/>
          <w:rtl/>
          <w:lang w:bidi="fa-IR"/>
        </w:rPr>
        <w:t xml:space="preserve"> </w:t>
      </w:r>
      <w:r w:rsidRPr="009913E3">
        <w:rPr>
          <w:rFonts w:asciiTheme="minorHAnsi" w:hAnsiTheme="minorHAnsi" w:cstheme="majorBidi"/>
          <w:sz w:val="24"/>
          <w:szCs w:val="24"/>
        </w:rPr>
        <w:t>Party-Appointed Arbitrators in International Commercial Arbitration”, 14 Arbitration</w:t>
      </w:r>
      <w:r w:rsidRPr="009913E3">
        <w:rPr>
          <w:rFonts w:asciiTheme="minorHAnsi" w:hAnsiTheme="minorHAnsi" w:cstheme="majorBidi"/>
          <w:sz w:val="24"/>
          <w:szCs w:val="24"/>
          <w:rtl/>
          <w:lang w:bidi="fa-IR"/>
        </w:rPr>
        <w:t xml:space="preserve"> </w:t>
      </w:r>
      <w:r>
        <w:rPr>
          <w:rFonts w:asciiTheme="minorHAnsi" w:hAnsiTheme="minorHAnsi" w:cstheme="majorBidi"/>
          <w:sz w:val="24"/>
          <w:szCs w:val="24"/>
        </w:rPr>
        <w:t>International 395, 1998.</w:t>
      </w:r>
    </w:p>
    <w:p w:rsidR="00D24234" w:rsidRPr="008B64EC" w:rsidRDefault="00D2423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Böckstiegel,</w:t>
      </w:r>
      <w:r>
        <w:rPr>
          <w:rFonts w:asciiTheme="minorHAnsi" w:hAnsiTheme="minorHAnsi" w:cstheme="majorBidi"/>
          <w:sz w:val="24"/>
          <w:szCs w:val="24"/>
        </w:rPr>
        <w:t xml:space="preserve"> </w:t>
      </w:r>
      <w:r w:rsidR="008B64EC">
        <w:rPr>
          <w:rFonts w:asciiTheme="minorHAnsi" w:hAnsiTheme="minorHAnsi" w:cstheme="majorBidi"/>
          <w:sz w:val="24"/>
          <w:szCs w:val="24"/>
        </w:rPr>
        <w:t>Karl-Heinz,</w:t>
      </w:r>
      <w:r w:rsidRPr="009913E3">
        <w:rPr>
          <w:rFonts w:asciiTheme="minorHAnsi" w:hAnsiTheme="minorHAnsi" w:cstheme="majorBidi"/>
          <w:sz w:val="24"/>
          <w:szCs w:val="24"/>
        </w:rPr>
        <w:t xml:space="preserve"> “Public Policy and Arbitrability” in ICCA Congress Series No. 3, Comparative Arbitration Practice and Public Policy in Arbitr</w:t>
      </w:r>
      <w:r w:rsidR="008B64EC">
        <w:rPr>
          <w:rFonts w:asciiTheme="minorHAnsi" w:hAnsiTheme="minorHAnsi" w:cstheme="majorBidi"/>
          <w:sz w:val="24"/>
          <w:szCs w:val="24"/>
        </w:rPr>
        <w:t>ation, Kluwer, 1987.</w:t>
      </w:r>
    </w:p>
    <w:p w:rsidR="006A3E02" w:rsidRDefault="007E75D5" w:rsidP="003F13D7">
      <w:pPr>
        <w:pStyle w:val="FootnoteText"/>
        <w:numPr>
          <w:ilvl w:val="0"/>
          <w:numId w:val="8"/>
        </w:numPr>
        <w:ind w:left="360"/>
        <w:jc w:val="left"/>
        <w:rPr>
          <w:rFonts w:asciiTheme="minorHAnsi" w:hAnsiTheme="minorHAnsi" w:cstheme="majorBidi"/>
          <w:sz w:val="24"/>
          <w:szCs w:val="24"/>
          <w:lang w:bidi="fa-IR"/>
        </w:rPr>
      </w:pPr>
      <w:r w:rsidRPr="000F4B7F">
        <w:rPr>
          <w:rFonts w:asciiTheme="minorHAnsi" w:hAnsiTheme="minorHAnsi" w:cstheme="majorBidi"/>
          <w:sz w:val="24"/>
          <w:szCs w:val="24"/>
          <w:lang w:bidi="fa-IR"/>
        </w:rPr>
        <w:t>Bockstiegel, Karl-Heinz, “Public Policy as a Limit to Arbitration and it</w:t>
      </w:r>
      <w:r w:rsidRPr="000F4B7F">
        <w:rPr>
          <w:rFonts w:asciiTheme="minorHAnsi" w:hAnsiTheme="minorHAnsi" w:cstheme="majorBidi"/>
          <w:sz w:val="24"/>
          <w:szCs w:val="24"/>
          <w:rtl/>
          <w:lang w:bidi="fa-IR"/>
        </w:rPr>
        <w:t xml:space="preserve"> </w:t>
      </w:r>
      <w:r w:rsidRPr="000F4B7F">
        <w:rPr>
          <w:rFonts w:asciiTheme="minorHAnsi" w:hAnsiTheme="minorHAnsi" w:cstheme="majorBidi"/>
          <w:sz w:val="24"/>
          <w:szCs w:val="24"/>
          <w:lang w:bidi="fa-IR"/>
        </w:rPr>
        <w:t>Enforcement”, IBA Journal of Dispute Resolution, Special Issue, 2008</w:t>
      </w:r>
      <w:r w:rsidRPr="000F4B7F">
        <w:rPr>
          <w:rFonts w:asciiTheme="minorHAnsi" w:hAnsiTheme="minorHAnsi" w:cstheme="majorBidi"/>
          <w:sz w:val="24"/>
          <w:szCs w:val="24"/>
          <w:rtl/>
          <w:lang w:bidi="fa-IR"/>
        </w:rPr>
        <w:t>.</w:t>
      </w:r>
    </w:p>
    <w:p w:rsidR="003C2C55" w:rsidRPr="003C2C55" w:rsidRDefault="003C2C5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Briner, “Switzerland”, Handbook, Suppl. 13, Sept. 1992.</w:t>
      </w:r>
    </w:p>
    <w:p w:rsidR="00C8114A" w:rsidRDefault="007E75D5" w:rsidP="003F13D7">
      <w:pPr>
        <w:pStyle w:val="FootnoteText"/>
        <w:numPr>
          <w:ilvl w:val="0"/>
          <w:numId w:val="8"/>
        </w:numPr>
        <w:ind w:left="360"/>
        <w:jc w:val="left"/>
        <w:rPr>
          <w:rFonts w:asciiTheme="minorHAnsi" w:hAnsiTheme="minorHAnsi" w:cstheme="majorBidi"/>
          <w:sz w:val="24"/>
          <w:szCs w:val="24"/>
          <w:lang w:bidi="fa-IR"/>
        </w:rPr>
      </w:pPr>
      <w:r w:rsidRPr="000F4B7F">
        <w:rPr>
          <w:rFonts w:asciiTheme="minorHAnsi" w:hAnsiTheme="minorHAnsi" w:cstheme="majorBidi"/>
          <w:sz w:val="24"/>
          <w:szCs w:val="24"/>
          <w:lang w:bidi="fa-IR"/>
        </w:rPr>
        <w:t>Briner, Yearbook of Commmercial Arbitration, Kluwer Law and Taxation Publi</w:t>
      </w:r>
      <w:r w:rsidR="008B64EC">
        <w:rPr>
          <w:rFonts w:asciiTheme="minorHAnsi" w:hAnsiTheme="minorHAnsi" w:cstheme="majorBidi"/>
          <w:sz w:val="24"/>
          <w:szCs w:val="24"/>
          <w:lang w:bidi="fa-IR"/>
        </w:rPr>
        <w:t>shers, Volume XVIII, 1993.</w:t>
      </w:r>
    </w:p>
    <w:p w:rsidR="006049EF" w:rsidRDefault="006049EF" w:rsidP="003F13D7">
      <w:pPr>
        <w:pStyle w:val="ListParagraph"/>
        <w:numPr>
          <w:ilvl w:val="0"/>
          <w:numId w:val="8"/>
        </w:numPr>
        <w:spacing w:after="200" w:line="276" w:lineRule="auto"/>
        <w:ind w:left="360"/>
        <w:jc w:val="left"/>
        <w:rPr>
          <w:rFonts w:asciiTheme="minorHAnsi" w:hAnsiTheme="minorHAnsi" w:cstheme="majorBidi"/>
          <w:sz w:val="24"/>
          <w:szCs w:val="24"/>
        </w:rPr>
      </w:pPr>
      <w:r w:rsidRPr="007E75D5">
        <w:rPr>
          <w:rFonts w:asciiTheme="minorHAnsi" w:hAnsiTheme="minorHAnsi" w:cstheme="majorBidi"/>
          <w:sz w:val="24"/>
          <w:szCs w:val="24"/>
        </w:rPr>
        <w:t>C</w:t>
      </w:r>
      <w:r w:rsidR="001143F7">
        <w:rPr>
          <w:rFonts w:asciiTheme="minorHAnsi" w:hAnsiTheme="minorHAnsi" w:cstheme="majorBidi"/>
          <w:sz w:val="24"/>
          <w:szCs w:val="24"/>
        </w:rPr>
        <w:t xml:space="preserve">arbonnier, J., Droit Civil, T, </w:t>
      </w:r>
      <w:r w:rsidRPr="007E75D5">
        <w:rPr>
          <w:rFonts w:asciiTheme="minorHAnsi" w:hAnsiTheme="minorHAnsi" w:cstheme="majorBidi"/>
          <w:sz w:val="24"/>
          <w:szCs w:val="24"/>
        </w:rPr>
        <w:t>Paris L.G.D.J, 1967</w:t>
      </w:r>
      <w:r w:rsidRPr="007E75D5">
        <w:rPr>
          <w:rFonts w:asciiTheme="minorHAnsi" w:hAnsiTheme="minorHAnsi" w:cstheme="majorBidi"/>
          <w:sz w:val="24"/>
          <w:szCs w:val="24"/>
          <w:rtl/>
        </w:rPr>
        <w:t>.</w:t>
      </w:r>
    </w:p>
    <w:p w:rsidR="005F2FA8" w:rsidRDefault="005F2FA8"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Carias-Borjas, “The Decision of the French Cour de Cassation in SOABI -v- Senegal”, 2 American Review o</w:t>
      </w:r>
      <w:r w:rsidR="001143F7">
        <w:rPr>
          <w:rFonts w:asciiTheme="minorHAnsi" w:hAnsiTheme="minorHAnsi" w:cstheme="majorBidi"/>
          <w:sz w:val="24"/>
          <w:szCs w:val="24"/>
        </w:rPr>
        <w:t>f International Arbitration 354, 1991.</w:t>
      </w:r>
    </w:p>
    <w:p w:rsidR="005F2FA8" w:rsidRPr="005F2FA8" w:rsidRDefault="005F2FA8"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Cornu Gerard</w:t>
      </w:r>
      <w:r w:rsidR="001143F7">
        <w:rPr>
          <w:rFonts w:asciiTheme="minorHAnsi" w:hAnsiTheme="minorHAnsi" w:cstheme="majorBidi"/>
          <w:sz w:val="24"/>
          <w:szCs w:val="24"/>
          <w:lang w:bidi="fa-IR"/>
        </w:rPr>
        <w:t>, Vocabulaire Juridique, 2end, Paris: P.U.F.</w:t>
      </w:r>
      <w:r w:rsidRPr="009913E3">
        <w:rPr>
          <w:rFonts w:asciiTheme="minorHAnsi" w:hAnsiTheme="minorHAnsi" w:cstheme="majorBidi"/>
          <w:sz w:val="24"/>
          <w:szCs w:val="24"/>
          <w:lang w:bidi="fa-IR"/>
        </w:rPr>
        <w:t>, 1990</w:t>
      </w:r>
      <w:r w:rsidRPr="009913E3">
        <w:rPr>
          <w:rFonts w:asciiTheme="minorHAnsi" w:hAnsiTheme="minorHAnsi" w:cstheme="majorBidi"/>
          <w:sz w:val="24"/>
          <w:szCs w:val="24"/>
          <w:rtl/>
          <w:lang w:bidi="fa-IR"/>
        </w:rPr>
        <w:t>.</w:t>
      </w:r>
    </w:p>
    <w:p w:rsidR="007E75D5" w:rsidRPr="009913E3" w:rsidRDefault="007E75D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Curtin Kenneth, Michael, “Redefining Public Policy in International Arbitration of Mandatory National Laws”, Defense Counsel Journal, Vol.64, 1997</w:t>
      </w:r>
      <w:r w:rsidRPr="009913E3">
        <w:rPr>
          <w:rFonts w:asciiTheme="minorHAnsi" w:hAnsiTheme="minorHAnsi" w:cstheme="majorBidi"/>
          <w:sz w:val="24"/>
          <w:szCs w:val="24"/>
          <w:rtl/>
          <w:lang w:bidi="fa-IR"/>
        </w:rPr>
        <w:t>.</w:t>
      </w:r>
    </w:p>
    <w:p w:rsidR="006049EF" w:rsidRPr="00170CD1" w:rsidRDefault="00170CD1"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El-Ahdab, “General Introduction on Arbitration in Arab Countries”, International Handbook on Commercial Arbit</w:t>
      </w:r>
      <w:r w:rsidR="00524314">
        <w:rPr>
          <w:rFonts w:asciiTheme="minorHAnsi" w:hAnsiTheme="minorHAnsi" w:cstheme="majorBidi"/>
          <w:sz w:val="24"/>
          <w:szCs w:val="24"/>
        </w:rPr>
        <w:t xml:space="preserve">ration (hereinafter “Handbook”), </w:t>
      </w:r>
      <w:r w:rsidRPr="009913E3">
        <w:rPr>
          <w:rFonts w:asciiTheme="minorHAnsi" w:hAnsiTheme="minorHAnsi" w:cstheme="majorBidi"/>
          <w:sz w:val="24"/>
          <w:szCs w:val="24"/>
        </w:rPr>
        <w:t xml:space="preserve">Kluwer, Suppl. </w:t>
      </w:r>
      <w:r w:rsidR="00524314">
        <w:rPr>
          <w:rFonts w:asciiTheme="minorHAnsi" w:hAnsiTheme="minorHAnsi" w:cstheme="majorBidi"/>
          <w:sz w:val="24"/>
          <w:szCs w:val="24"/>
        </w:rPr>
        <w:t>27, Dec. 1998.</w:t>
      </w:r>
    </w:p>
    <w:p w:rsidR="001B75EC" w:rsidRDefault="004A41E7"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lastRenderedPageBreak/>
        <w:t>El-Ahdab, “Saudi Arabia Accedes to the New York Convention”, 11 Journ</w:t>
      </w:r>
      <w:r w:rsidR="00A13B7A">
        <w:rPr>
          <w:rFonts w:asciiTheme="minorHAnsi" w:hAnsiTheme="minorHAnsi" w:cstheme="majorBidi"/>
          <w:sz w:val="24"/>
          <w:szCs w:val="24"/>
        </w:rPr>
        <w:t>al of International Arbitration, 1994.</w:t>
      </w:r>
    </w:p>
    <w:p w:rsidR="00037523" w:rsidRPr="00755935" w:rsidRDefault="00037523"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ElAhdab, “The New Egyptian Arbitration Act in Civil</w:t>
      </w:r>
      <w:r w:rsidR="00755935">
        <w:rPr>
          <w:rFonts w:asciiTheme="minorHAnsi" w:hAnsiTheme="minorHAnsi" w:cstheme="majorBidi"/>
          <w:sz w:val="24"/>
          <w:szCs w:val="24"/>
        </w:rPr>
        <w:t xml:space="preserve"> and Commercial Matters”,</w:t>
      </w:r>
      <w:r w:rsidRPr="009913E3">
        <w:rPr>
          <w:rFonts w:asciiTheme="minorHAnsi" w:hAnsiTheme="minorHAnsi" w:cstheme="majorBidi"/>
          <w:sz w:val="24"/>
          <w:szCs w:val="24"/>
        </w:rPr>
        <w:t xml:space="preserve"> 12 Journal of International Arbitration 65 at 91/93</w:t>
      </w:r>
      <w:r w:rsidR="00755935">
        <w:rPr>
          <w:rFonts w:asciiTheme="minorHAnsi" w:hAnsiTheme="minorHAnsi" w:cstheme="majorBidi"/>
          <w:sz w:val="24"/>
          <w:szCs w:val="24"/>
        </w:rPr>
        <w:t>, 1995</w:t>
      </w:r>
      <w:r w:rsidRPr="009913E3">
        <w:rPr>
          <w:rFonts w:asciiTheme="minorHAnsi" w:hAnsiTheme="minorHAnsi" w:cstheme="majorBidi"/>
          <w:sz w:val="24"/>
          <w:szCs w:val="24"/>
        </w:rPr>
        <w:t>.</w:t>
      </w:r>
    </w:p>
    <w:p w:rsidR="000856DD" w:rsidRPr="00A354D2" w:rsidRDefault="000856DD" w:rsidP="003F13D7">
      <w:pPr>
        <w:pStyle w:val="ListParagraph"/>
        <w:numPr>
          <w:ilvl w:val="0"/>
          <w:numId w:val="8"/>
        </w:numPr>
        <w:spacing w:after="200" w:line="276" w:lineRule="auto"/>
        <w:ind w:left="360"/>
        <w:jc w:val="left"/>
        <w:rPr>
          <w:rFonts w:asciiTheme="minorHAnsi" w:hAnsiTheme="minorHAnsi" w:cstheme="majorBidi"/>
          <w:sz w:val="24"/>
          <w:szCs w:val="24"/>
        </w:rPr>
      </w:pPr>
      <w:r w:rsidRPr="00A354D2">
        <w:rPr>
          <w:rFonts w:asciiTheme="minorHAnsi" w:hAnsiTheme="minorHAnsi" w:cstheme="majorBidi"/>
          <w:sz w:val="24"/>
          <w:szCs w:val="24"/>
          <w:lang w:bidi="fa-IR"/>
        </w:rPr>
        <w:t>Gailllard Emmanuel &amp; Savage John, Fouchard, Goldman on International Commercial Arbitration, Kluwer Law International, 1999.</w:t>
      </w:r>
    </w:p>
    <w:p w:rsidR="009E32D4" w:rsidRDefault="009E32D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Giardina, Andrea, The practical Application of Multilateral Conventions, 14</w:t>
      </w:r>
      <w:r w:rsidRPr="009913E3">
        <w:rPr>
          <w:rFonts w:asciiTheme="minorHAnsi" w:hAnsiTheme="minorHAnsi" w:cstheme="majorBidi"/>
          <w:sz w:val="24"/>
          <w:szCs w:val="24"/>
          <w:vertAlign w:val="superscript"/>
        </w:rPr>
        <w:t>th</w:t>
      </w:r>
      <w:r w:rsidRPr="009913E3">
        <w:rPr>
          <w:rFonts w:asciiTheme="minorHAnsi" w:hAnsiTheme="minorHAnsi" w:cstheme="majorBidi"/>
          <w:sz w:val="24"/>
          <w:szCs w:val="24"/>
        </w:rPr>
        <w:t xml:space="preserve"> ICCA Congress, Paris, May, 1998.</w:t>
      </w:r>
    </w:p>
    <w:p w:rsidR="00B142D5" w:rsidRDefault="00B142D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Gold, Joseph, The Fund Agreement in the Courts, International Monetary Fund, 4 Vols, 1986.</w:t>
      </w:r>
    </w:p>
    <w:p w:rsidR="008B64EC" w:rsidRPr="008B64EC" w:rsidRDefault="00D2423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Grigera Naón, “Argentina”, Handbook, Suppl. 11, Jan. 1990.</w:t>
      </w:r>
    </w:p>
    <w:p w:rsidR="00D24234" w:rsidRDefault="00D2423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Holtzmann, “United States”, Handbook, Suppl. 13, Sept. 1992.</w:t>
      </w:r>
    </w:p>
    <w:p w:rsidR="008B64EC" w:rsidRPr="008B64EC" w:rsidRDefault="008B64EC"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Houzhi and Shengchang, “People’s Republic of China”, Handbook, Suppl. 25, Jan. 1998.</w:t>
      </w:r>
    </w:p>
    <w:p w:rsidR="00107210" w:rsidRDefault="00107210"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Jaenikes, International Public Order, Encyclopedia of Public International Law, vol.7</w:t>
      </w:r>
      <w:r w:rsidRPr="009913E3">
        <w:rPr>
          <w:rFonts w:asciiTheme="minorHAnsi" w:hAnsiTheme="minorHAnsi" w:cstheme="majorBidi"/>
          <w:sz w:val="24"/>
          <w:szCs w:val="24"/>
          <w:rtl/>
          <w:lang w:bidi="fa-IR"/>
        </w:rPr>
        <w:t>.</w:t>
      </w:r>
    </w:p>
    <w:p w:rsidR="00E63AA9" w:rsidRPr="00E63AA9" w:rsidRDefault="00E63AA9"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Kennedy-Grant, “New Zealand”, Handbook, Suppl. 25, Jan. 1998.</w:t>
      </w:r>
    </w:p>
    <w:p w:rsidR="00E5709A" w:rsidRDefault="00E5709A"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Lu, May, “The New York Convention on the Recognition and Enforcement of Foreign Arbitral Awards: Analysis of the Seven Defenses to Oppose Enforcement in the United States and England”, 23 Ariz.J. Int L &amp; Comp., 2006.</w:t>
      </w:r>
    </w:p>
    <w:p w:rsidR="001B75EC" w:rsidRDefault="001B75EC"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Lee, “Republic of Korea”, Handbook, Suppl. 21, Aug. 1996.</w:t>
      </w:r>
    </w:p>
    <w:p w:rsidR="00755935" w:rsidRPr="003C2C55" w:rsidRDefault="0075593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 xml:space="preserve">Mayer, “Mandatory rules of law in international arbitration”, </w:t>
      </w:r>
      <w:r w:rsidR="003C2C55">
        <w:rPr>
          <w:rFonts w:asciiTheme="minorHAnsi" w:hAnsiTheme="minorHAnsi" w:cstheme="majorBidi"/>
          <w:sz w:val="24"/>
          <w:szCs w:val="24"/>
        </w:rPr>
        <w:t>2 Arbitration International, 1986.</w:t>
      </w:r>
    </w:p>
    <w:p w:rsidR="009E32D4" w:rsidRPr="009913E3" w:rsidRDefault="009E32D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Meyer, P., L’execution des Sentences Arbitrales Dans les Pays de Droit Romaniste, Publication  CCI N 440/6, 1992.</w:t>
      </w:r>
    </w:p>
    <w:p w:rsidR="009E32D4" w:rsidRDefault="009E32D4" w:rsidP="003F13D7">
      <w:pPr>
        <w:pStyle w:val="FootnoteText"/>
        <w:numPr>
          <w:ilvl w:val="0"/>
          <w:numId w:val="8"/>
        </w:numPr>
        <w:ind w:left="360"/>
        <w:jc w:val="left"/>
        <w:rPr>
          <w:rFonts w:asciiTheme="minorHAnsi" w:hAnsiTheme="minorHAnsi" w:cstheme="majorBidi"/>
          <w:sz w:val="24"/>
          <w:szCs w:val="24"/>
          <w:lang w:bidi="fa-IR"/>
        </w:rPr>
      </w:pPr>
      <w:r w:rsidRPr="000F4B7F">
        <w:rPr>
          <w:rFonts w:asciiTheme="minorHAnsi" w:hAnsiTheme="minorHAnsi" w:cstheme="majorBidi"/>
          <w:sz w:val="24"/>
          <w:szCs w:val="24"/>
        </w:rPr>
        <w:t>Mirabelli, G., The Application of the New York Convention by the Italian Courts, IV Yearbook, 1979.</w:t>
      </w:r>
    </w:p>
    <w:p w:rsidR="00107210" w:rsidRDefault="00107210"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Mustill, M.J., &amp; Boyd, S.C., Commercial Arbitartion, London, Butterworthes, 1982</w:t>
      </w:r>
      <w:r w:rsidRPr="009913E3">
        <w:rPr>
          <w:rFonts w:asciiTheme="minorHAnsi" w:hAnsiTheme="minorHAnsi" w:cstheme="majorBidi"/>
          <w:sz w:val="24"/>
          <w:szCs w:val="24"/>
          <w:rtl/>
        </w:rPr>
        <w:t>.</w:t>
      </w:r>
    </w:p>
    <w:p w:rsidR="009353CB" w:rsidRPr="009353CB" w:rsidRDefault="009353CB"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Netto, “Brazil”, Handbook, Suppl. 25, Jan. 1998.</w:t>
      </w:r>
    </w:p>
    <w:p w:rsidR="00D24234" w:rsidRPr="00D24234" w:rsidRDefault="00D2423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Okekeifere Andrew I, “Public Policy and Arbitrability under the UNCITRAL Model Law”, International Arbitration Law Review, 1999</w:t>
      </w:r>
      <w:r w:rsidRPr="009913E3">
        <w:rPr>
          <w:rFonts w:asciiTheme="minorHAnsi" w:hAnsiTheme="minorHAnsi" w:cstheme="majorBidi"/>
          <w:sz w:val="24"/>
          <w:szCs w:val="24"/>
          <w:rtl/>
          <w:lang w:bidi="fa-IR"/>
        </w:rPr>
        <w:t>.</w:t>
      </w:r>
    </w:p>
    <w:p w:rsidR="009E32D4" w:rsidRPr="009913E3" w:rsidRDefault="009E32D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lastRenderedPageBreak/>
        <w:t>Paulsson, J., et J. Bertrand de Balanda, L’execution des sentences arbitrales dans les pays de common law, Publication CCI N 440/6, 1992.</w:t>
      </w:r>
    </w:p>
    <w:p w:rsidR="009E32D4" w:rsidRPr="000F4B7F" w:rsidRDefault="009E32D4" w:rsidP="003F13D7">
      <w:pPr>
        <w:pStyle w:val="FootnoteText"/>
        <w:numPr>
          <w:ilvl w:val="0"/>
          <w:numId w:val="8"/>
        </w:numPr>
        <w:ind w:left="360"/>
        <w:jc w:val="left"/>
        <w:rPr>
          <w:rFonts w:asciiTheme="minorHAnsi" w:hAnsiTheme="minorHAnsi" w:cstheme="majorBidi"/>
          <w:sz w:val="24"/>
          <w:szCs w:val="24"/>
          <w:lang w:bidi="fa-IR"/>
        </w:rPr>
      </w:pPr>
      <w:r w:rsidRPr="000F4B7F">
        <w:rPr>
          <w:rFonts w:asciiTheme="minorHAnsi" w:hAnsiTheme="minorHAnsi" w:cstheme="majorBidi"/>
          <w:sz w:val="24"/>
          <w:szCs w:val="24"/>
        </w:rPr>
        <w:t>Planetey, Alain, Definition et principes de l,order public, PUF,1996.</w:t>
      </w:r>
    </w:p>
    <w:p w:rsidR="009E32D4" w:rsidRPr="00E63AA9" w:rsidRDefault="009E32D4"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imes New Roman"/>
          <w:sz w:val="24"/>
          <w:szCs w:val="24"/>
        </w:rPr>
        <w:t>Park William W., “Control Mechanisms in Development of a Modern Lex Mercatoria”, in Thomas E. Carbonneau, Lex Mercatoria and Arbitration, Kluwer Law International, 1998.</w:t>
      </w:r>
    </w:p>
    <w:p w:rsidR="00E63AA9" w:rsidRPr="00E63AA9" w:rsidRDefault="00E63AA9"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Pryles, “Australia”, Handbook, Suppl. 13, Sept. 1992.</w:t>
      </w:r>
    </w:p>
    <w:p w:rsidR="00D96783" w:rsidRPr="00D96783" w:rsidRDefault="00D96783"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Rosell and Prager, “Illicit Commissions and</w:t>
      </w:r>
      <w:r w:rsidRPr="009913E3">
        <w:rPr>
          <w:rFonts w:asciiTheme="minorHAnsi" w:hAnsiTheme="minorHAnsi" w:cstheme="majorBidi"/>
          <w:sz w:val="24"/>
          <w:szCs w:val="24"/>
          <w:rtl/>
        </w:rPr>
        <w:t xml:space="preserve"> </w:t>
      </w:r>
      <w:r w:rsidRPr="009913E3">
        <w:rPr>
          <w:rFonts w:asciiTheme="minorHAnsi" w:hAnsiTheme="minorHAnsi" w:cstheme="majorBidi"/>
          <w:sz w:val="24"/>
          <w:szCs w:val="24"/>
        </w:rPr>
        <w:t>International Arbitration: The Question of Proof”, 1</w:t>
      </w:r>
      <w:r>
        <w:rPr>
          <w:rFonts w:asciiTheme="minorHAnsi" w:hAnsiTheme="minorHAnsi" w:cstheme="majorBidi"/>
          <w:sz w:val="24"/>
          <w:szCs w:val="24"/>
        </w:rPr>
        <w:t>5 Arbitration International 329, 1999.</w:t>
      </w:r>
    </w:p>
    <w:p w:rsidR="00107210" w:rsidRPr="00107210" w:rsidRDefault="00107210"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Rubino-Sammartano, M., International Arbitration Law, Kluwer, 1990.</w:t>
      </w:r>
    </w:p>
    <w:p w:rsidR="008B64EC" w:rsidRDefault="008B64EC" w:rsidP="003F13D7">
      <w:pPr>
        <w:pStyle w:val="FootnoteText"/>
        <w:numPr>
          <w:ilvl w:val="0"/>
          <w:numId w:val="8"/>
        </w:numPr>
        <w:ind w:left="360"/>
        <w:jc w:val="left"/>
        <w:rPr>
          <w:rFonts w:asciiTheme="minorHAnsi" w:hAnsiTheme="minorHAnsi"/>
          <w:sz w:val="24"/>
          <w:szCs w:val="24"/>
          <w:lang w:bidi="fa-IR"/>
        </w:rPr>
      </w:pPr>
      <w:r w:rsidRPr="000F4B7F">
        <w:rPr>
          <w:rFonts w:asciiTheme="minorHAnsi" w:hAnsiTheme="minorHAnsi"/>
          <w:sz w:val="24"/>
          <w:szCs w:val="24"/>
          <w:lang w:bidi="fa-IR"/>
        </w:rPr>
        <w:t>Saleh Samir, “The Recognition of Foreign Arbitral Award in the States of the Arab Middle East”, in Law. Contemporary Problems in International Arbitration, Martinus Nhjhoff Publishers, 1986.</w:t>
      </w:r>
    </w:p>
    <w:p w:rsidR="008B64EC" w:rsidRDefault="008B64EC" w:rsidP="003F13D7">
      <w:pPr>
        <w:pStyle w:val="ListParagraph"/>
        <w:numPr>
          <w:ilvl w:val="0"/>
          <w:numId w:val="8"/>
        </w:numPr>
        <w:spacing w:after="200" w:line="276" w:lineRule="auto"/>
        <w:ind w:left="360"/>
        <w:jc w:val="left"/>
        <w:rPr>
          <w:rFonts w:asciiTheme="minorHAnsi" w:hAnsiTheme="minorHAnsi" w:cstheme="majorBidi"/>
          <w:sz w:val="24"/>
          <w:szCs w:val="24"/>
        </w:rPr>
      </w:pPr>
      <w:r w:rsidRPr="00EF6A6C">
        <w:rPr>
          <w:rFonts w:asciiTheme="minorHAnsi" w:hAnsiTheme="minorHAnsi" w:cstheme="majorBidi"/>
          <w:sz w:val="24"/>
          <w:szCs w:val="24"/>
        </w:rPr>
        <w:t>Sanders, “Commentary” in 60 Years of ICC Arbi</w:t>
      </w:r>
      <w:r w:rsidR="00D96783">
        <w:rPr>
          <w:rFonts w:asciiTheme="minorHAnsi" w:hAnsiTheme="minorHAnsi" w:cstheme="majorBidi"/>
          <w:sz w:val="24"/>
          <w:szCs w:val="24"/>
        </w:rPr>
        <w:t>tration - A Look at the Future, ICC Publishing, 1984.</w:t>
      </w:r>
    </w:p>
    <w:p w:rsidR="00755935" w:rsidRDefault="0075593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Schwebel and Lahne, “Public Policy and Arbitral Procedure” in ICCA Congress Series No. 3, Comparative Arbitration Practice an</w:t>
      </w:r>
      <w:r>
        <w:rPr>
          <w:rFonts w:asciiTheme="minorHAnsi" w:hAnsiTheme="minorHAnsi" w:cstheme="majorBidi"/>
          <w:sz w:val="24"/>
          <w:szCs w:val="24"/>
        </w:rPr>
        <w:t xml:space="preserve">d Public Policy in Arbitration, </w:t>
      </w:r>
      <w:r w:rsidRPr="009913E3">
        <w:rPr>
          <w:rFonts w:asciiTheme="minorHAnsi" w:hAnsiTheme="minorHAnsi" w:cstheme="majorBidi"/>
          <w:sz w:val="24"/>
          <w:szCs w:val="24"/>
        </w:rPr>
        <w:t>Kluwer, 1987.</w:t>
      </w:r>
    </w:p>
    <w:p w:rsidR="00E63AA9" w:rsidRPr="00E63AA9" w:rsidRDefault="00E63AA9"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Szurski and Wis´niewski, “Poland”, Handbook, Suppl. 14, Apr. 1993.</w:t>
      </w:r>
    </w:p>
    <w:p w:rsidR="000856DD" w:rsidRPr="000856DD" w:rsidRDefault="000856DD"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tl/>
          <w:lang w:bidi="fa-IR"/>
        </w:rPr>
        <w:t>‌</w:t>
      </w:r>
      <w:r w:rsidRPr="009913E3">
        <w:rPr>
          <w:rFonts w:asciiTheme="minorHAnsi" w:hAnsiTheme="minorHAnsi" w:cstheme="majorBidi"/>
          <w:sz w:val="24"/>
          <w:szCs w:val="24"/>
          <w:lang w:bidi="fa-IR"/>
        </w:rPr>
        <w:t>Treitel, G.H., The Law of Contract, 5</w:t>
      </w:r>
      <w:r w:rsidRPr="009913E3">
        <w:rPr>
          <w:rFonts w:asciiTheme="minorHAnsi" w:hAnsiTheme="minorHAnsi" w:cstheme="majorBidi"/>
          <w:sz w:val="24"/>
          <w:szCs w:val="24"/>
          <w:vertAlign w:val="superscript"/>
          <w:lang w:bidi="fa-IR"/>
        </w:rPr>
        <w:t xml:space="preserve">th </w:t>
      </w:r>
      <w:r w:rsidRPr="009913E3">
        <w:rPr>
          <w:rFonts w:asciiTheme="minorHAnsi" w:hAnsiTheme="minorHAnsi" w:cstheme="majorBidi"/>
          <w:sz w:val="24"/>
          <w:szCs w:val="24"/>
          <w:lang w:bidi="fa-IR"/>
        </w:rPr>
        <w:t xml:space="preserve"> ed., Clays, 1995.</w:t>
      </w:r>
    </w:p>
    <w:p w:rsidR="009E32D4" w:rsidRPr="009913E3" w:rsidRDefault="00836E78" w:rsidP="003F13D7">
      <w:pPr>
        <w:pStyle w:val="ListParagraph"/>
        <w:numPr>
          <w:ilvl w:val="0"/>
          <w:numId w:val="8"/>
        </w:numPr>
        <w:spacing w:after="200" w:line="276" w:lineRule="auto"/>
        <w:ind w:left="360"/>
        <w:jc w:val="left"/>
        <w:rPr>
          <w:rFonts w:asciiTheme="minorHAnsi" w:hAnsiTheme="minorHAnsi" w:cstheme="majorBidi"/>
          <w:sz w:val="24"/>
          <w:szCs w:val="24"/>
        </w:rPr>
      </w:pPr>
      <w:r>
        <w:rPr>
          <w:rFonts w:asciiTheme="minorHAnsi" w:hAnsiTheme="minorHAnsi" w:cstheme="majorBidi"/>
          <w:sz w:val="24"/>
          <w:szCs w:val="24"/>
          <w:lang w:bidi="fa-IR"/>
        </w:rPr>
        <w:t>Van den Berg</w:t>
      </w:r>
      <w:r w:rsidR="009E32D4" w:rsidRPr="009913E3">
        <w:rPr>
          <w:rFonts w:asciiTheme="minorHAnsi" w:hAnsiTheme="minorHAnsi" w:cstheme="majorBidi"/>
          <w:sz w:val="24"/>
          <w:szCs w:val="24"/>
          <w:lang w:bidi="fa-IR"/>
        </w:rPr>
        <w:t>,</w:t>
      </w:r>
      <w:r>
        <w:rPr>
          <w:rFonts w:asciiTheme="minorHAnsi" w:hAnsiTheme="minorHAnsi" w:cstheme="majorBidi"/>
          <w:sz w:val="24"/>
          <w:szCs w:val="24"/>
          <w:lang w:bidi="fa-IR"/>
        </w:rPr>
        <w:t xml:space="preserve"> </w:t>
      </w:r>
      <w:r w:rsidRPr="00836E78">
        <w:rPr>
          <w:rFonts w:asciiTheme="minorHAnsi" w:hAnsiTheme="minorHAnsi" w:cstheme="majorBidi"/>
          <w:sz w:val="24"/>
          <w:szCs w:val="24"/>
          <w:lang w:bidi="fa-IR"/>
        </w:rPr>
        <w:t>Albert Jan</w:t>
      </w:r>
      <w:r>
        <w:rPr>
          <w:rFonts w:asciiTheme="minorHAnsi" w:hAnsiTheme="minorHAnsi" w:cstheme="majorBidi"/>
          <w:sz w:val="24"/>
          <w:szCs w:val="24"/>
          <w:lang w:bidi="fa-IR"/>
        </w:rPr>
        <w:t>,</w:t>
      </w:r>
      <w:r w:rsidR="009E32D4" w:rsidRPr="009913E3">
        <w:rPr>
          <w:rFonts w:asciiTheme="minorHAnsi" w:hAnsiTheme="minorHAnsi" w:cstheme="majorBidi"/>
          <w:sz w:val="24"/>
          <w:szCs w:val="24"/>
          <w:lang w:bidi="fa-IR"/>
        </w:rPr>
        <w:t xml:space="preserve"> “The Efficacy of Award in Interna</w:t>
      </w:r>
      <w:r w:rsidR="00A7714F">
        <w:rPr>
          <w:rFonts w:asciiTheme="minorHAnsi" w:hAnsiTheme="minorHAnsi" w:cstheme="majorBidi"/>
          <w:sz w:val="24"/>
          <w:szCs w:val="24"/>
          <w:lang w:bidi="fa-IR"/>
        </w:rPr>
        <w:t>tional Commercial Arbitration” I</w:t>
      </w:r>
      <w:r w:rsidR="009E32D4" w:rsidRPr="009913E3">
        <w:rPr>
          <w:rFonts w:asciiTheme="minorHAnsi" w:hAnsiTheme="minorHAnsi" w:cstheme="majorBidi"/>
          <w:sz w:val="24"/>
          <w:szCs w:val="24"/>
          <w:lang w:bidi="fa-IR"/>
        </w:rPr>
        <w:t>n Arbitration Insights, Kluwer Law International, 2007.</w:t>
      </w:r>
    </w:p>
    <w:p w:rsidR="009E32D4" w:rsidRDefault="00EF6A6C" w:rsidP="003F13D7">
      <w:pPr>
        <w:pStyle w:val="ListParagraph"/>
        <w:numPr>
          <w:ilvl w:val="0"/>
          <w:numId w:val="8"/>
        </w:numPr>
        <w:spacing w:after="200" w:line="276" w:lineRule="auto"/>
        <w:ind w:left="360"/>
        <w:jc w:val="left"/>
        <w:rPr>
          <w:rFonts w:asciiTheme="minorHAnsi" w:hAnsiTheme="minorHAnsi" w:cstheme="majorBidi"/>
          <w:sz w:val="24"/>
          <w:szCs w:val="24"/>
        </w:rPr>
      </w:pPr>
      <w:r>
        <w:rPr>
          <w:rFonts w:asciiTheme="minorHAnsi" w:hAnsiTheme="minorHAnsi" w:cstheme="majorBidi"/>
          <w:sz w:val="24"/>
          <w:szCs w:val="24"/>
          <w:lang w:bidi="fa-IR"/>
        </w:rPr>
        <w:t>V</w:t>
      </w:r>
      <w:r w:rsidR="009E32D4" w:rsidRPr="009913E3">
        <w:rPr>
          <w:rFonts w:asciiTheme="minorHAnsi" w:hAnsiTheme="minorHAnsi" w:cstheme="majorBidi"/>
          <w:sz w:val="24"/>
          <w:szCs w:val="24"/>
          <w:lang w:bidi="fa-IR"/>
        </w:rPr>
        <w:t>an den Berg, Albert Jan, “Refusals of Enforcement under the New York Convention of 1958: the Unfortunate Few” in A</w:t>
      </w:r>
      <w:r w:rsidR="00E63AA9">
        <w:rPr>
          <w:rFonts w:asciiTheme="minorHAnsi" w:hAnsiTheme="minorHAnsi" w:cstheme="majorBidi"/>
          <w:sz w:val="24"/>
          <w:szCs w:val="24"/>
          <w:lang w:bidi="fa-IR"/>
        </w:rPr>
        <w:t>rbitration in the Next Decade, ICC Bulletin - Special Supplement, 1999.</w:t>
      </w:r>
    </w:p>
    <w:p w:rsidR="00170CD1" w:rsidRDefault="00170CD1"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Van den Berg, Albert Jan, The New York Arbitration Convention of 1958, Kluwer Law and Taxation Publishers, 1981</w:t>
      </w:r>
      <w:r w:rsidRPr="009913E3">
        <w:rPr>
          <w:rFonts w:asciiTheme="minorHAnsi" w:hAnsiTheme="minorHAnsi" w:cstheme="majorBidi"/>
          <w:sz w:val="24"/>
          <w:szCs w:val="24"/>
          <w:rtl/>
          <w:lang w:bidi="fa-IR"/>
        </w:rPr>
        <w:t>.</w:t>
      </w:r>
    </w:p>
    <w:p w:rsidR="00755935" w:rsidRPr="00755935" w:rsidRDefault="00755935"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Veeder, “England”, Handbook, Suppl. 23, Mar. 1997.</w:t>
      </w:r>
    </w:p>
    <w:p w:rsidR="00107210" w:rsidRPr="00107210" w:rsidRDefault="00107210"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Walker, M. Divid, The Oxford Companion to Law, Oxford, Clarendon Press, 1980.</w:t>
      </w:r>
    </w:p>
    <w:p w:rsidR="00170CD1" w:rsidRDefault="001B75EC"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rPr>
        <w:t>Wetter, J., “The Present of the International Court of Arbitartion of ICC; An Appraisal”, 1 American Review of International Arbitartion, 1990</w:t>
      </w:r>
      <w:r w:rsidRPr="009913E3">
        <w:rPr>
          <w:rFonts w:asciiTheme="minorHAnsi" w:hAnsiTheme="minorHAnsi" w:cstheme="majorBidi"/>
          <w:sz w:val="24"/>
          <w:szCs w:val="24"/>
          <w:rtl/>
        </w:rPr>
        <w:t>.</w:t>
      </w:r>
    </w:p>
    <w:p w:rsidR="00107210" w:rsidRPr="00107210" w:rsidRDefault="00107210" w:rsidP="003F13D7">
      <w:pPr>
        <w:pStyle w:val="ListParagraph"/>
        <w:numPr>
          <w:ilvl w:val="0"/>
          <w:numId w:val="8"/>
        </w:numPr>
        <w:spacing w:after="200" w:line="276" w:lineRule="auto"/>
        <w:ind w:left="360"/>
        <w:jc w:val="left"/>
        <w:rPr>
          <w:rFonts w:asciiTheme="minorHAnsi" w:hAnsiTheme="minorHAnsi" w:cstheme="majorBidi"/>
          <w:sz w:val="24"/>
          <w:szCs w:val="24"/>
        </w:rPr>
      </w:pPr>
      <w:r w:rsidRPr="009913E3">
        <w:rPr>
          <w:rFonts w:asciiTheme="minorHAnsi" w:hAnsiTheme="minorHAnsi" w:cstheme="majorBidi"/>
          <w:sz w:val="24"/>
          <w:szCs w:val="24"/>
          <w:lang w:bidi="fa-IR"/>
        </w:rPr>
        <w:t>Williams, David, law of contract, London, Butterworth,1997.</w:t>
      </w:r>
    </w:p>
    <w:p w:rsidR="009353CB" w:rsidRPr="009913E3" w:rsidRDefault="009353CB" w:rsidP="001A1129">
      <w:pPr>
        <w:pStyle w:val="ListParagraph"/>
        <w:spacing w:after="200" w:line="276" w:lineRule="auto"/>
        <w:ind w:left="0"/>
        <w:jc w:val="left"/>
        <w:rPr>
          <w:rFonts w:asciiTheme="minorHAnsi" w:hAnsiTheme="minorHAnsi" w:cstheme="majorBidi"/>
          <w:sz w:val="24"/>
          <w:szCs w:val="24"/>
        </w:rPr>
      </w:pPr>
    </w:p>
    <w:p w:rsidR="00685F59" w:rsidRDefault="00685F59" w:rsidP="001A1129">
      <w:pPr>
        <w:bidi/>
        <w:spacing w:after="200" w:line="276" w:lineRule="auto"/>
        <w:jc w:val="left"/>
        <w:rPr>
          <w:rFonts w:asciiTheme="minorHAnsi" w:hAnsiTheme="minorHAnsi" w:cstheme="majorBidi"/>
          <w:sz w:val="24"/>
          <w:szCs w:val="24"/>
          <w:rtl/>
          <w:lang w:bidi="fa-IR"/>
        </w:rPr>
      </w:pPr>
    </w:p>
    <w:p w:rsidR="00685F59" w:rsidRDefault="00685F59" w:rsidP="001A1129">
      <w:pPr>
        <w:bidi/>
        <w:spacing w:after="200" w:line="276" w:lineRule="auto"/>
        <w:jc w:val="left"/>
        <w:rPr>
          <w:rFonts w:asciiTheme="minorHAnsi" w:hAnsiTheme="minorHAnsi"/>
          <w:b/>
          <w:bCs/>
          <w:sz w:val="30"/>
          <w:szCs w:val="30"/>
          <w:rtl/>
          <w:lang w:bidi="fa-IR"/>
        </w:rPr>
      </w:pPr>
      <w:r>
        <w:rPr>
          <w:rFonts w:asciiTheme="minorHAnsi" w:hAnsiTheme="minorHAnsi" w:hint="cs"/>
          <w:b/>
          <w:bCs/>
          <w:sz w:val="30"/>
          <w:szCs w:val="30"/>
          <w:rtl/>
          <w:lang w:bidi="fa-IR"/>
        </w:rPr>
        <w:t>آراء</w:t>
      </w:r>
      <w:r w:rsidR="00016610">
        <w:rPr>
          <w:rFonts w:asciiTheme="minorHAnsi" w:hAnsiTheme="minorHAnsi" w:hint="cs"/>
          <w:b/>
          <w:bCs/>
          <w:sz w:val="30"/>
          <w:szCs w:val="30"/>
          <w:rtl/>
          <w:lang w:bidi="fa-IR"/>
        </w:rPr>
        <w:t xml:space="preserve"> و اسناد</w:t>
      </w:r>
    </w:p>
    <w:p w:rsidR="00D767C4" w:rsidRPr="00D767C4" w:rsidRDefault="00B9745D"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sz w:val="24"/>
          <w:szCs w:val="24"/>
        </w:rPr>
        <w:t xml:space="preserve">ATF 116 II 634, 1992, XVII </w:t>
      </w:r>
      <w:r w:rsidRPr="00D767C4">
        <w:rPr>
          <w:rFonts w:asciiTheme="minorHAnsi" w:hAnsiTheme="minorHAnsi" w:cstheme="majorBidi"/>
          <w:i/>
          <w:iCs/>
          <w:sz w:val="24"/>
          <w:szCs w:val="24"/>
        </w:rPr>
        <w:t xml:space="preserve">Yearbook </w:t>
      </w:r>
      <w:r w:rsidRPr="00D767C4">
        <w:rPr>
          <w:rFonts w:asciiTheme="minorHAnsi" w:hAnsiTheme="minorHAnsi" w:cstheme="majorBidi"/>
          <w:sz w:val="24"/>
          <w:szCs w:val="24"/>
        </w:rPr>
        <w:t>279.</w:t>
      </w:r>
    </w:p>
    <w:p w:rsidR="00A5471A" w:rsidRPr="00D767C4" w:rsidRDefault="008E2116"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sz w:val="24"/>
          <w:szCs w:val="24"/>
        </w:rPr>
        <w:t xml:space="preserve">Adams -v- Cape Industries plc, </w:t>
      </w:r>
      <w:r w:rsidR="00A5471A" w:rsidRPr="00D767C4">
        <w:rPr>
          <w:rFonts w:asciiTheme="minorHAnsi" w:hAnsiTheme="minorHAnsi" w:cstheme="majorBidi"/>
          <w:sz w:val="24"/>
          <w:szCs w:val="24"/>
        </w:rPr>
        <w:t>1990</w:t>
      </w:r>
      <w:r w:rsidRPr="00D767C4">
        <w:rPr>
          <w:rFonts w:asciiTheme="minorHAnsi" w:hAnsiTheme="minorHAnsi" w:cstheme="majorBidi"/>
          <w:sz w:val="24"/>
          <w:szCs w:val="24"/>
        </w:rPr>
        <w:t>,</w:t>
      </w:r>
      <w:r w:rsidR="00A5471A" w:rsidRPr="00D767C4">
        <w:rPr>
          <w:rFonts w:asciiTheme="minorHAnsi" w:hAnsiTheme="minorHAnsi" w:cstheme="majorBidi"/>
          <w:sz w:val="24"/>
          <w:szCs w:val="24"/>
        </w:rPr>
        <w:t xml:space="preserve"> Ch. 433 at 569 (CA).</w:t>
      </w:r>
    </w:p>
    <w:p w:rsidR="00A5471A" w:rsidRPr="00D767C4" w:rsidRDefault="00DD2F8A"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sz w:val="24"/>
          <w:szCs w:val="24"/>
        </w:rPr>
        <w:t xml:space="preserve">Andre </w:t>
      </w:r>
      <w:r w:rsidR="008E2116" w:rsidRPr="00D767C4">
        <w:rPr>
          <w:rFonts w:asciiTheme="minorHAnsi" w:hAnsiTheme="minorHAnsi" w:cstheme="majorBidi"/>
          <w:sz w:val="24"/>
          <w:szCs w:val="24"/>
        </w:rPr>
        <w:t xml:space="preserve">-v- Multitrade, Cass. 1e civ., </w:t>
      </w:r>
      <w:r w:rsidRPr="00D767C4">
        <w:rPr>
          <w:rFonts w:asciiTheme="minorHAnsi" w:hAnsiTheme="minorHAnsi" w:cstheme="majorBidi"/>
          <w:sz w:val="24"/>
          <w:szCs w:val="24"/>
        </w:rPr>
        <w:t>1994</w:t>
      </w:r>
      <w:r w:rsidR="008E2116" w:rsidRPr="00D767C4">
        <w:rPr>
          <w:rFonts w:asciiTheme="minorHAnsi" w:hAnsiTheme="minorHAnsi" w:cstheme="majorBidi"/>
          <w:sz w:val="24"/>
          <w:szCs w:val="24"/>
        </w:rPr>
        <w:t>,</w:t>
      </w:r>
      <w:r w:rsidRPr="00D767C4">
        <w:rPr>
          <w:rFonts w:asciiTheme="minorHAnsi" w:hAnsiTheme="minorHAnsi" w:cstheme="majorBidi"/>
          <w:sz w:val="24"/>
          <w:szCs w:val="24"/>
        </w:rPr>
        <w:t xml:space="preserve"> Rev. Arb. 83.</w:t>
      </w:r>
    </w:p>
    <w:p w:rsidR="005351E6" w:rsidRPr="00D767C4"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sz w:val="24"/>
          <w:szCs w:val="24"/>
        </w:rPr>
        <w:t>Asset Privitization Trust -v- Court of Appeals, GR No. 121171, 29 December 1998.</w:t>
      </w:r>
    </w:p>
    <w:p w:rsidR="00454F38" w:rsidRPr="00D767C4" w:rsidRDefault="00454F38"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i/>
          <w:iCs/>
          <w:sz w:val="24"/>
          <w:szCs w:val="24"/>
        </w:rPr>
        <w:t xml:space="preserve">Berner Oeltransport v. Dreury, 1 K.B., </w:t>
      </w:r>
      <w:r w:rsidRPr="00D767C4">
        <w:rPr>
          <w:rFonts w:asciiTheme="minorHAnsi" w:hAnsiTheme="minorHAnsi" w:cstheme="majorBidi"/>
          <w:sz w:val="24"/>
          <w:szCs w:val="24"/>
        </w:rPr>
        <w:t>1933.</w:t>
      </w:r>
    </w:p>
    <w:p w:rsidR="00836E78" w:rsidRPr="00D767C4" w:rsidRDefault="00836E78"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sz w:val="24"/>
          <w:szCs w:val="24"/>
          <w:lang w:bidi="fa-IR"/>
        </w:rPr>
        <w:t>Case41/74</w:t>
      </w:r>
      <w:r w:rsidR="008E2116" w:rsidRPr="00D767C4">
        <w:rPr>
          <w:rFonts w:asciiTheme="minorHAnsi" w:hAnsiTheme="minorHAnsi" w:cstheme="majorBidi"/>
          <w:sz w:val="24"/>
          <w:szCs w:val="24"/>
          <w:lang w:bidi="fa-IR"/>
        </w:rPr>
        <w:t xml:space="preserve">, Yvonne van Duyn v.Home Office, </w:t>
      </w:r>
      <w:r w:rsidRPr="00D767C4">
        <w:rPr>
          <w:rFonts w:asciiTheme="minorHAnsi" w:hAnsiTheme="minorHAnsi" w:cstheme="majorBidi"/>
          <w:sz w:val="24"/>
          <w:szCs w:val="24"/>
          <w:lang w:bidi="fa-IR"/>
        </w:rPr>
        <w:t>1974</w:t>
      </w:r>
      <w:r w:rsidR="008E2116" w:rsidRPr="00D767C4">
        <w:rPr>
          <w:rFonts w:asciiTheme="minorHAnsi" w:hAnsiTheme="minorHAnsi" w:cstheme="majorBidi"/>
          <w:sz w:val="24"/>
          <w:szCs w:val="24"/>
          <w:lang w:bidi="fa-IR"/>
        </w:rPr>
        <w:t xml:space="preserve">, </w:t>
      </w:r>
      <w:r w:rsidRPr="00D767C4">
        <w:rPr>
          <w:rFonts w:asciiTheme="minorHAnsi" w:hAnsiTheme="minorHAnsi" w:cstheme="majorBidi"/>
          <w:sz w:val="24"/>
          <w:szCs w:val="24"/>
          <w:lang w:bidi="fa-IR"/>
        </w:rPr>
        <w:t>ECR, 01337 at 01351.</w:t>
      </w:r>
    </w:p>
    <w:p w:rsidR="00CE7961" w:rsidRPr="00D767C4" w:rsidRDefault="00CE7961" w:rsidP="003F13D7">
      <w:pPr>
        <w:pStyle w:val="ListParagraph"/>
        <w:numPr>
          <w:ilvl w:val="0"/>
          <w:numId w:val="7"/>
        </w:numPr>
        <w:spacing w:after="200" w:line="276" w:lineRule="auto"/>
        <w:jc w:val="left"/>
        <w:rPr>
          <w:rFonts w:asciiTheme="minorHAnsi" w:hAnsiTheme="minorHAnsi" w:cstheme="majorBidi"/>
          <w:sz w:val="24"/>
          <w:szCs w:val="24"/>
          <w:rtl/>
        </w:rPr>
      </w:pPr>
      <w:r w:rsidRPr="00D767C4">
        <w:rPr>
          <w:rFonts w:asciiTheme="minorHAnsi" w:hAnsiTheme="minorHAnsi" w:cstheme="majorBidi"/>
          <w:sz w:val="24"/>
          <w:szCs w:val="24"/>
        </w:rPr>
        <w:t>Convention for the Execution of Foreign Arbitral Awards, made at Geneva, 26 September 1927,League of Nations Treaty Series (1929-1930), vol. XCII.</w:t>
      </w:r>
    </w:p>
    <w:p w:rsidR="00CE7961" w:rsidRPr="00D767C4" w:rsidRDefault="00CE7961" w:rsidP="003F13D7">
      <w:pPr>
        <w:pStyle w:val="ListParagraph"/>
        <w:numPr>
          <w:ilvl w:val="0"/>
          <w:numId w:val="7"/>
        </w:numPr>
        <w:spacing w:after="200" w:line="276" w:lineRule="auto"/>
        <w:jc w:val="left"/>
        <w:rPr>
          <w:rFonts w:asciiTheme="minorHAnsi" w:hAnsiTheme="minorHAnsi" w:cstheme="majorBidi"/>
          <w:sz w:val="24"/>
          <w:szCs w:val="24"/>
        </w:rPr>
      </w:pPr>
      <w:r w:rsidRPr="00D767C4">
        <w:rPr>
          <w:rFonts w:asciiTheme="minorHAnsi" w:hAnsiTheme="minorHAnsi" w:cstheme="majorBidi"/>
          <w:sz w:val="24"/>
          <w:szCs w:val="24"/>
        </w:rPr>
        <w:t>Convention of the Arab League on Enforcement of Arbitral Awards, made in Amman, 14 April 1987.</w:t>
      </w:r>
    </w:p>
    <w:p w:rsidR="00CE7961" w:rsidRPr="00D767C4" w:rsidRDefault="00CE7961" w:rsidP="003F13D7">
      <w:pPr>
        <w:pStyle w:val="ListParagraph"/>
        <w:numPr>
          <w:ilvl w:val="0"/>
          <w:numId w:val="7"/>
        </w:numPr>
        <w:spacing w:after="200" w:line="276" w:lineRule="auto"/>
        <w:jc w:val="left"/>
        <w:rPr>
          <w:rFonts w:asciiTheme="minorHAnsi" w:hAnsiTheme="minorHAnsi" w:cstheme="majorBidi"/>
          <w:sz w:val="24"/>
          <w:szCs w:val="24"/>
          <w:rtl/>
        </w:rPr>
      </w:pPr>
      <w:r w:rsidRPr="00D767C4">
        <w:rPr>
          <w:rFonts w:asciiTheme="minorHAnsi" w:hAnsiTheme="minorHAnsi" w:cstheme="majorBidi"/>
          <w:sz w:val="24"/>
          <w:szCs w:val="24"/>
        </w:rPr>
        <w:t>Convention on Judicial Co-operation between States of the Arab League, made in Riyadh, 6 April 1983.</w:t>
      </w:r>
    </w:p>
    <w:p w:rsidR="008F2B7A" w:rsidRPr="007825CF" w:rsidRDefault="008F2B7A" w:rsidP="003F13D7">
      <w:pPr>
        <w:pStyle w:val="ListParagraph"/>
        <w:numPr>
          <w:ilvl w:val="0"/>
          <w:numId w:val="7"/>
        </w:numPr>
        <w:spacing w:after="200" w:line="276" w:lineRule="auto"/>
        <w:jc w:val="left"/>
        <w:rPr>
          <w:rFonts w:asciiTheme="minorHAnsi" w:hAnsiTheme="minorHAnsi" w:cstheme="majorBidi"/>
          <w:sz w:val="24"/>
          <w:szCs w:val="24"/>
        </w:rPr>
      </w:pPr>
      <w:r w:rsidRPr="007825CF">
        <w:rPr>
          <w:rFonts w:asciiTheme="minorHAnsi" w:hAnsiTheme="minorHAnsi" w:cstheme="majorBidi"/>
          <w:sz w:val="24"/>
          <w:szCs w:val="24"/>
        </w:rPr>
        <w:t>Convention on the Settlement of Investment Disputes between States and Nationals of Other States, made on 18 March 1965.</w:t>
      </w:r>
    </w:p>
    <w:p w:rsidR="00F553CB" w:rsidRPr="00F553CB" w:rsidRDefault="00F553CB" w:rsidP="003F13D7">
      <w:pPr>
        <w:pStyle w:val="FootnoteText"/>
        <w:numPr>
          <w:ilvl w:val="0"/>
          <w:numId w:val="7"/>
        </w:numPr>
        <w:jc w:val="left"/>
        <w:rPr>
          <w:rFonts w:asciiTheme="minorHAnsi" w:hAnsiTheme="minorHAnsi" w:cstheme="majorBidi"/>
          <w:sz w:val="24"/>
          <w:szCs w:val="24"/>
          <w:lang w:bidi="fa-IR"/>
        </w:rPr>
      </w:pPr>
      <w:r w:rsidRPr="000F4B7F">
        <w:rPr>
          <w:rFonts w:asciiTheme="minorHAnsi" w:hAnsiTheme="minorHAnsi" w:cstheme="majorBidi"/>
          <w:sz w:val="24"/>
          <w:szCs w:val="24"/>
        </w:rPr>
        <w:t>Court of Appeal of Tokio (2</w:t>
      </w:r>
      <w:r w:rsidRPr="000F4B7F">
        <w:rPr>
          <w:rFonts w:asciiTheme="minorHAnsi" w:hAnsiTheme="minorHAnsi" w:cstheme="majorBidi"/>
          <w:sz w:val="24"/>
          <w:szCs w:val="24"/>
          <w:vertAlign w:val="superscript"/>
        </w:rPr>
        <w:t>nd</w:t>
      </w:r>
      <w:r w:rsidRPr="000F4B7F">
        <w:rPr>
          <w:rFonts w:asciiTheme="minorHAnsi" w:hAnsiTheme="minorHAnsi" w:cstheme="majorBidi"/>
          <w:sz w:val="24"/>
          <w:szCs w:val="24"/>
        </w:rPr>
        <w:t xml:space="preserve"> Civil Section) March 14, 1963, P.Iroshi P.Ishi v. Compania di P.Avigazion</w:t>
      </w:r>
      <w:r>
        <w:rPr>
          <w:rFonts w:asciiTheme="minorHAnsi" w:hAnsiTheme="minorHAnsi" w:cstheme="majorBidi"/>
          <w:sz w:val="24"/>
          <w:szCs w:val="24"/>
        </w:rPr>
        <w:t>e e Commercio, I Yearbook, 1976.</w:t>
      </w:r>
    </w:p>
    <w:p w:rsidR="00E15E97" w:rsidRDefault="00A1755F"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 xml:space="preserve">Decision of Judge </w:t>
      </w:r>
      <w:r w:rsidR="008E2116">
        <w:rPr>
          <w:rFonts w:asciiTheme="minorHAnsi" w:hAnsiTheme="minorHAnsi" w:cstheme="majorBidi"/>
          <w:sz w:val="24"/>
          <w:szCs w:val="24"/>
        </w:rPr>
        <w:t xml:space="preserve">Lagergren in 1963, reported in </w:t>
      </w:r>
      <w:r w:rsidRPr="009913E3">
        <w:rPr>
          <w:rFonts w:asciiTheme="minorHAnsi" w:hAnsiTheme="minorHAnsi" w:cstheme="majorBidi"/>
          <w:sz w:val="24"/>
          <w:szCs w:val="24"/>
        </w:rPr>
        <w:t>1994, 1</w:t>
      </w:r>
      <w:r w:rsidR="003050CE">
        <w:rPr>
          <w:rFonts w:asciiTheme="minorHAnsi" w:hAnsiTheme="minorHAnsi" w:cstheme="majorBidi"/>
          <w:sz w:val="24"/>
          <w:szCs w:val="24"/>
        </w:rPr>
        <w:t>0 Arbitration International 277.</w:t>
      </w:r>
    </w:p>
    <w:p w:rsidR="00CC7AFF" w:rsidRPr="009913E3" w:rsidRDefault="00CC7AFF"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Deutsche Schachtbau-und Tiefbohrgesellscaft mbh -v- Ras Al Khaimah National</w:t>
      </w:r>
      <w:r w:rsidR="008E2116">
        <w:rPr>
          <w:rFonts w:asciiTheme="minorHAnsi" w:hAnsiTheme="minorHAnsi" w:cstheme="majorBidi"/>
          <w:sz w:val="24"/>
          <w:szCs w:val="24"/>
        </w:rPr>
        <w:t xml:space="preserve"> Oil Company,</w:t>
      </w:r>
      <w:r w:rsidRPr="009913E3">
        <w:rPr>
          <w:rFonts w:asciiTheme="minorHAnsi" w:hAnsiTheme="minorHAnsi" w:cstheme="majorBidi"/>
          <w:sz w:val="24"/>
          <w:szCs w:val="24"/>
        </w:rPr>
        <w:t xml:space="preserve"> 1987, 2 Lloyd’s Rep. 246 at 254.</w:t>
      </w:r>
    </w:p>
    <w:p w:rsidR="00CC7AFF" w:rsidRPr="00CC7AFF" w:rsidRDefault="00CC7AFF"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i/>
          <w:iCs/>
          <w:sz w:val="24"/>
          <w:szCs w:val="24"/>
        </w:rPr>
        <w:t>E.g. Merrifield Co. v. Liverpool Cotton Association</w:t>
      </w:r>
      <w:r w:rsidRPr="009913E3">
        <w:rPr>
          <w:rFonts w:asciiTheme="minorHAnsi" w:hAnsiTheme="minorHAnsi" w:cstheme="majorBidi"/>
          <w:sz w:val="24"/>
          <w:szCs w:val="24"/>
        </w:rPr>
        <w:t>, 105 L.T., 1911.</w:t>
      </w:r>
    </w:p>
    <w:p w:rsidR="00A71DA3" w:rsidRPr="00A71DA3" w:rsidRDefault="00F5147D" w:rsidP="003F13D7">
      <w:pPr>
        <w:pStyle w:val="ListParagraph"/>
        <w:numPr>
          <w:ilvl w:val="0"/>
          <w:numId w:val="7"/>
        </w:numPr>
        <w:spacing w:after="200" w:line="276" w:lineRule="auto"/>
        <w:jc w:val="left"/>
        <w:rPr>
          <w:rFonts w:asciiTheme="minorHAnsi" w:hAnsiTheme="minorHAnsi" w:cstheme="majorBidi"/>
          <w:sz w:val="24"/>
          <w:szCs w:val="24"/>
          <w:rtl/>
        </w:rPr>
      </w:pPr>
      <w:r>
        <w:rPr>
          <w:rFonts w:asciiTheme="minorHAnsi" w:hAnsiTheme="minorHAnsi" w:cstheme="majorBidi"/>
          <w:sz w:val="24"/>
          <w:szCs w:val="24"/>
        </w:rPr>
        <w:t xml:space="preserve">Egerton -v- Brownlow, </w:t>
      </w:r>
      <w:r w:rsidR="00A71DA3" w:rsidRPr="009913E3">
        <w:rPr>
          <w:rFonts w:asciiTheme="minorHAnsi" w:hAnsiTheme="minorHAnsi" w:cstheme="majorBidi"/>
          <w:sz w:val="24"/>
          <w:szCs w:val="24"/>
        </w:rPr>
        <w:t>1853, 4 HLC 1.</w:t>
      </w:r>
    </w:p>
    <w:p w:rsidR="001306DA" w:rsidRPr="001306DA" w:rsidRDefault="000C22A2" w:rsidP="003F13D7">
      <w:pPr>
        <w:pStyle w:val="ListParagraph"/>
        <w:numPr>
          <w:ilvl w:val="0"/>
          <w:numId w:val="7"/>
        </w:numPr>
        <w:spacing w:after="200" w:line="276" w:lineRule="auto"/>
        <w:jc w:val="left"/>
        <w:rPr>
          <w:rFonts w:asciiTheme="minorHAnsi" w:hAnsiTheme="minorHAnsi" w:cstheme="majorBidi"/>
          <w:sz w:val="24"/>
          <w:szCs w:val="24"/>
          <w:rtl/>
        </w:rPr>
      </w:pPr>
      <w:r w:rsidRPr="000C22A2">
        <w:rPr>
          <w:rFonts w:asciiTheme="minorHAnsi" w:hAnsiTheme="minorHAnsi" w:cstheme="majorBidi"/>
          <w:sz w:val="24"/>
          <w:szCs w:val="24"/>
        </w:rPr>
        <w:t>European Gas Turbines SA</w:t>
      </w:r>
      <w:r w:rsidR="00F5147D">
        <w:rPr>
          <w:rFonts w:asciiTheme="minorHAnsi" w:hAnsiTheme="minorHAnsi" w:cstheme="majorBidi"/>
          <w:sz w:val="24"/>
          <w:szCs w:val="24"/>
        </w:rPr>
        <w:t xml:space="preserve"> -v- Westman International Ltd, </w:t>
      </w:r>
      <w:r w:rsidRPr="000C22A2">
        <w:rPr>
          <w:rFonts w:asciiTheme="minorHAnsi" w:hAnsiTheme="minorHAnsi" w:cstheme="majorBidi"/>
          <w:sz w:val="24"/>
          <w:szCs w:val="24"/>
        </w:rPr>
        <w:t>1994</w:t>
      </w:r>
      <w:r w:rsidR="00F5147D">
        <w:rPr>
          <w:rFonts w:asciiTheme="minorHAnsi" w:hAnsiTheme="minorHAnsi" w:cstheme="majorBidi"/>
          <w:sz w:val="24"/>
          <w:szCs w:val="24"/>
        </w:rPr>
        <w:t>,</w:t>
      </w:r>
      <w:r w:rsidRPr="000C22A2">
        <w:rPr>
          <w:rFonts w:asciiTheme="minorHAnsi" w:hAnsiTheme="minorHAnsi" w:cstheme="majorBidi"/>
          <w:sz w:val="24"/>
          <w:szCs w:val="24"/>
        </w:rPr>
        <w:t xml:space="preserve"> Rev. Arb. 359</w:t>
      </w:r>
      <w:r>
        <w:rPr>
          <w:rFonts w:asciiTheme="minorHAnsi" w:hAnsiTheme="minorHAnsi" w:cstheme="majorBidi"/>
          <w:sz w:val="24"/>
          <w:szCs w:val="24"/>
        </w:rPr>
        <w:t>.</w:t>
      </w:r>
    </w:p>
    <w:p w:rsidR="003050CE" w:rsidRDefault="003050CE"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Excelsior Film TV, Srl -v- UGC-PHOA, French Cour de Cassation</w:t>
      </w:r>
      <w:r w:rsidR="00F5147D">
        <w:rPr>
          <w:rFonts w:asciiTheme="minorHAnsi" w:hAnsiTheme="minorHAnsi" w:cstheme="majorBidi"/>
          <w:sz w:val="24"/>
          <w:szCs w:val="24"/>
        </w:rPr>
        <w:t>,</w:t>
      </w:r>
      <w:r w:rsidRPr="009913E3">
        <w:rPr>
          <w:rFonts w:asciiTheme="minorHAnsi" w:hAnsiTheme="minorHAnsi" w:cstheme="majorBidi"/>
          <w:sz w:val="24"/>
          <w:szCs w:val="24"/>
        </w:rPr>
        <w:t xml:space="preserve"> decision dated 24 March 1998</w:t>
      </w:r>
      <w:r w:rsidRPr="009913E3">
        <w:rPr>
          <w:rFonts w:asciiTheme="minorHAnsi" w:hAnsiTheme="minorHAnsi" w:cstheme="majorBidi"/>
          <w:sz w:val="24"/>
          <w:szCs w:val="24"/>
          <w:rtl/>
        </w:rPr>
        <w:t>.</w:t>
      </w:r>
    </w:p>
    <w:p w:rsidR="00016610" w:rsidRDefault="00016610"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lastRenderedPageBreak/>
        <w:t>Hebei Import and Export Corporation -v-</w:t>
      </w:r>
      <w:r w:rsidR="00F5147D">
        <w:rPr>
          <w:rFonts w:asciiTheme="minorHAnsi" w:hAnsiTheme="minorHAnsi" w:cstheme="majorBidi"/>
          <w:sz w:val="24"/>
          <w:szCs w:val="24"/>
        </w:rPr>
        <w:t xml:space="preserve"> Polytek Engineering Co. Ltd., </w:t>
      </w:r>
      <w:r w:rsidRPr="009913E3">
        <w:rPr>
          <w:rFonts w:asciiTheme="minorHAnsi" w:hAnsiTheme="minorHAnsi" w:cstheme="majorBidi"/>
          <w:sz w:val="24"/>
          <w:szCs w:val="24"/>
        </w:rPr>
        <w:t>1999</w:t>
      </w:r>
      <w:r w:rsidR="00F5147D">
        <w:rPr>
          <w:rFonts w:asciiTheme="minorHAnsi" w:hAnsiTheme="minorHAnsi" w:cstheme="majorBidi"/>
          <w:sz w:val="24"/>
          <w:szCs w:val="24"/>
        </w:rPr>
        <w:t>,</w:t>
      </w:r>
      <w:r w:rsidRPr="009913E3">
        <w:rPr>
          <w:rFonts w:asciiTheme="minorHAnsi" w:hAnsiTheme="minorHAnsi" w:cstheme="majorBidi"/>
          <w:sz w:val="24"/>
          <w:szCs w:val="24"/>
        </w:rPr>
        <w:t xml:space="preserve"> XXIV </w:t>
      </w:r>
      <w:r w:rsidRPr="009913E3">
        <w:rPr>
          <w:rFonts w:asciiTheme="minorHAnsi" w:hAnsiTheme="minorHAnsi" w:cstheme="majorBidi"/>
          <w:i/>
          <w:iCs/>
          <w:sz w:val="24"/>
          <w:szCs w:val="24"/>
        </w:rPr>
        <w:t xml:space="preserve">Yearbook </w:t>
      </w:r>
      <w:r w:rsidRPr="009913E3">
        <w:rPr>
          <w:rFonts w:asciiTheme="minorHAnsi" w:hAnsiTheme="minorHAnsi" w:cstheme="majorBidi"/>
          <w:sz w:val="24"/>
          <w:szCs w:val="24"/>
        </w:rPr>
        <w:t>652.</w:t>
      </w:r>
    </w:p>
    <w:p w:rsidR="00B93196" w:rsidRDefault="00B9319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Inter-American Convention on Extraterritorial Validity of Foreign Judgments and Arbitral Awards, made in Montevideo, 8 May 1979.</w:t>
      </w:r>
    </w:p>
    <w:p w:rsidR="00A71DA3" w:rsidRPr="00A71DA3" w:rsidRDefault="00A71DA3" w:rsidP="003F13D7">
      <w:pPr>
        <w:pStyle w:val="ListParagraph"/>
        <w:numPr>
          <w:ilvl w:val="0"/>
          <w:numId w:val="7"/>
        </w:numPr>
        <w:spacing w:after="200" w:line="276" w:lineRule="auto"/>
        <w:jc w:val="left"/>
        <w:rPr>
          <w:rFonts w:asciiTheme="minorHAnsi" w:hAnsiTheme="minorHAnsi" w:cstheme="majorBidi"/>
          <w:sz w:val="24"/>
          <w:szCs w:val="24"/>
          <w:rtl/>
        </w:rPr>
      </w:pPr>
      <w:r w:rsidRPr="00CE7961">
        <w:rPr>
          <w:rFonts w:asciiTheme="minorHAnsi" w:hAnsiTheme="minorHAnsi" w:cstheme="majorBidi"/>
          <w:sz w:val="24"/>
          <w:szCs w:val="24"/>
        </w:rPr>
        <w:t>Inter-American Convention on International Commercial Arbitration, made in Panama, 30 January 1975.</w:t>
      </w:r>
    </w:p>
    <w:p w:rsidR="00016610" w:rsidRDefault="00016610"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International Law Association, “Final Report on Public Policy As a Bar to Enforcement of International Arbitral Awards”, New Delhi Conference</w:t>
      </w:r>
      <w:r w:rsidR="00F5147D">
        <w:rPr>
          <w:rFonts w:asciiTheme="minorHAnsi" w:hAnsiTheme="minorHAnsi" w:cstheme="majorBidi"/>
          <w:sz w:val="24"/>
          <w:szCs w:val="24"/>
        </w:rPr>
        <w:t>, 2</w:t>
      </w:r>
      <w:r w:rsidRPr="009913E3">
        <w:rPr>
          <w:rFonts w:asciiTheme="minorHAnsi" w:hAnsiTheme="minorHAnsi" w:cstheme="majorBidi"/>
          <w:sz w:val="24"/>
          <w:szCs w:val="24"/>
        </w:rPr>
        <w:t>002.</w:t>
      </w:r>
    </w:p>
    <w:p w:rsidR="00A71DA3" w:rsidRPr="00A71DA3" w:rsidRDefault="00A71DA3"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International Law Association, “Interim Report on Public Policy As a Bar to Enforcement of International Arbit</w:t>
      </w:r>
      <w:r w:rsidR="00F5147D">
        <w:rPr>
          <w:rFonts w:asciiTheme="minorHAnsi" w:hAnsiTheme="minorHAnsi" w:cstheme="majorBidi"/>
          <w:sz w:val="24"/>
          <w:szCs w:val="24"/>
        </w:rPr>
        <w:t>ral Awards”, London Conference, 2000</w:t>
      </w:r>
      <w:r w:rsidRPr="009913E3">
        <w:rPr>
          <w:rFonts w:asciiTheme="minorHAnsi" w:hAnsiTheme="minorHAnsi" w:cstheme="majorBidi"/>
          <w:sz w:val="24"/>
          <w:szCs w:val="24"/>
        </w:rPr>
        <w:t>.</w:t>
      </w:r>
    </w:p>
    <w:p w:rsidR="00B9745D" w:rsidRPr="008F2B7A" w:rsidRDefault="00B9745D"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Garrity -v- Lyle Staurt Inc.</w:t>
      </w:r>
      <w:r w:rsidR="00F5147D">
        <w:rPr>
          <w:rFonts w:asciiTheme="minorHAnsi" w:hAnsiTheme="minorHAnsi" w:cstheme="majorBidi"/>
          <w:sz w:val="24"/>
          <w:szCs w:val="24"/>
        </w:rPr>
        <w:t>,</w:t>
      </w:r>
      <w:r w:rsidRPr="009913E3">
        <w:rPr>
          <w:rFonts w:asciiTheme="minorHAnsi" w:hAnsiTheme="minorHAnsi" w:cstheme="majorBidi"/>
          <w:sz w:val="24"/>
          <w:szCs w:val="24"/>
        </w:rPr>
        <w:t xml:space="preserve"> 40 N.Y. 2d 354</w:t>
      </w:r>
      <w:r w:rsidR="00F5147D">
        <w:rPr>
          <w:rFonts w:asciiTheme="minorHAnsi" w:hAnsiTheme="minorHAnsi" w:cstheme="majorBidi"/>
          <w:sz w:val="24"/>
          <w:szCs w:val="24"/>
        </w:rPr>
        <w:t>,</w:t>
      </w:r>
      <w:r w:rsidRPr="009913E3">
        <w:rPr>
          <w:rFonts w:asciiTheme="minorHAnsi" w:hAnsiTheme="minorHAnsi" w:cstheme="majorBidi"/>
          <w:sz w:val="24"/>
          <w:szCs w:val="24"/>
        </w:rPr>
        <w:t xml:space="preserve"> 1976.</w:t>
      </w:r>
    </w:p>
    <w:p w:rsidR="005351E6" w:rsidRPr="003050CE"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Germa</w:t>
      </w:r>
      <w:r w:rsidR="0025164B">
        <w:rPr>
          <w:rFonts w:asciiTheme="minorHAnsi" w:hAnsiTheme="minorHAnsi" w:cstheme="majorBidi"/>
          <w:sz w:val="24"/>
          <w:szCs w:val="24"/>
        </w:rPr>
        <w:t>ny - BGH NJW</w:t>
      </w:r>
      <w:r w:rsidRPr="009913E3">
        <w:rPr>
          <w:rFonts w:asciiTheme="minorHAnsi" w:hAnsiTheme="minorHAnsi" w:cstheme="majorBidi"/>
          <w:sz w:val="24"/>
          <w:szCs w:val="24"/>
        </w:rPr>
        <w:t>, 2300</w:t>
      </w:r>
      <w:r w:rsidR="0025164B">
        <w:rPr>
          <w:rFonts w:asciiTheme="minorHAnsi" w:hAnsiTheme="minorHAnsi" w:cstheme="majorBidi"/>
          <w:sz w:val="24"/>
          <w:szCs w:val="24"/>
        </w:rPr>
        <w:t>, 1992</w:t>
      </w:r>
      <w:r w:rsidRPr="009913E3">
        <w:rPr>
          <w:rFonts w:asciiTheme="minorHAnsi" w:hAnsiTheme="minorHAnsi" w:cstheme="majorBidi"/>
          <w:sz w:val="24"/>
          <w:szCs w:val="24"/>
        </w:rPr>
        <w:t>.</w:t>
      </w:r>
    </w:p>
    <w:p w:rsidR="00CD1106" w:rsidRDefault="00CD1106" w:rsidP="003F13D7">
      <w:pPr>
        <w:pStyle w:val="ListParagraph"/>
        <w:numPr>
          <w:ilvl w:val="0"/>
          <w:numId w:val="7"/>
        </w:numPr>
        <w:spacing w:after="200" w:line="276" w:lineRule="auto"/>
        <w:jc w:val="left"/>
        <w:rPr>
          <w:rFonts w:asciiTheme="minorHAnsi" w:hAnsiTheme="minorHAnsi" w:cstheme="majorBidi"/>
          <w:sz w:val="24"/>
          <w:szCs w:val="24"/>
        </w:rPr>
      </w:pPr>
      <w:r w:rsidRPr="00CD1106">
        <w:rPr>
          <w:rFonts w:asciiTheme="minorHAnsi" w:hAnsiTheme="minorHAnsi" w:cstheme="majorBidi"/>
          <w:sz w:val="24"/>
          <w:szCs w:val="24"/>
        </w:rPr>
        <w:t>Laminoirs-Trefileries-Cableries de Lens, S.A. v. Southwir</w:t>
      </w:r>
      <w:r w:rsidR="0025164B">
        <w:rPr>
          <w:rFonts w:asciiTheme="minorHAnsi" w:hAnsiTheme="minorHAnsi" w:cstheme="majorBidi"/>
          <w:sz w:val="24"/>
          <w:szCs w:val="24"/>
        </w:rPr>
        <w:t xml:space="preserve">e Co., 484 F. Supp. 1063, 1069, </w:t>
      </w:r>
      <w:r w:rsidRPr="00CD1106">
        <w:rPr>
          <w:rFonts w:asciiTheme="minorHAnsi" w:hAnsiTheme="minorHAnsi" w:cstheme="majorBidi"/>
          <w:sz w:val="24"/>
          <w:szCs w:val="24"/>
        </w:rPr>
        <w:t>N.D. Ga.</w:t>
      </w:r>
      <w:r w:rsidR="0025164B">
        <w:rPr>
          <w:rFonts w:asciiTheme="minorHAnsi" w:hAnsiTheme="minorHAnsi" w:cstheme="majorBidi"/>
          <w:sz w:val="24"/>
          <w:szCs w:val="24"/>
        </w:rPr>
        <w:t>,</w:t>
      </w:r>
      <w:r w:rsidRPr="00CD1106">
        <w:rPr>
          <w:rFonts w:asciiTheme="minorHAnsi" w:hAnsiTheme="minorHAnsi" w:cstheme="majorBidi"/>
          <w:sz w:val="24"/>
          <w:szCs w:val="24"/>
        </w:rPr>
        <w:t xml:space="preserve"> 1980.</w:t>
      </w:r>
    </w:p>
    <w:p w:rsidR="003050CE" w:rsidRPr="008F2B7A" w:rsidRDefault="003050CE"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Mitsubishi Motors Corp.-v-. Soler Chrysler-Plymouth Inc., No. 83-1569, 1985.</w:t>
      </w:r>
    </w:p>
    <w:p w:rsidR="005351E6"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Northrop Corp. v. Triad Int’l Mktg. S.A., 811 F.2</w:t>
      </w:r>
      <w:r w:rsidR="0025164B">
        <w:rPr>
          <w:rFonts w:asciiTheme="minorHAnsi" w:hAnsiTheme="minorHAnsi" w:cstheme="majorBidi"/>
          <w:sz w:val="24"/>
          <w:szCs w:val="24"/>
        </w:rPr>
        <w:t xml:space="preserve">d 1265-1271, 9th Cir., </w:t>
      </w:r>
      <w:r w:rsidRPr="009913E3">
        <w:rPr>
          <w:rFonts w:asciiTheme="minorHAnsi" w:hAnsiTheme="minorHAnsi" w:cstheme="majorBidi"/>
          <w:sz w:val="24"/>
          <w:szCs w:val="24"/>
        </w:rPr>
        <w:t>1987.</w:t>
      </w:r>
    </w:p>
    <w:p w:rsidR="002C3D79" w:rsidRDefault="002C3D79"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i/>
          <w:iCs/>
          <w:sz w:val="24"/>
          <w:szCs w:val="24"/>
        </w:rPr>
        <w:t>Norsk Atlas</w:t>
      </w:r>
      <w:r w:rsidRPr="009913E3">
        <w:rPr>
          <w:rFonts w:asciiTheme="minorHAnsi" w:hAnsiTheme="minorHAnsi" w:cstheme="majorBidi"/>
          <w:sz w:val="24"/>
          <w:szCs w:val="24"/>
        </w:rPr>
        <w:t xml:space="preserve"> </w:t>
      </w:r>
      <w:r w:rsidRPr="009913E3">
        <w:rPr>
          <w:rFonts w:asciiTheme="minorHAnsi" w:hAnsiTheme="minorHAnsi" w:cstheme="majorBidi"/>
          <w:i/>
          <w:iCs/>
          <w:sz w:val="24"/>
          <w:szCs w:val="24"/>
        </w:rPr>
        <w:t>v.</w:t>
      </w:r>
      <w:r w:rsidRPr="009913E3">
        <w:rPr>
          <w:rFonts w:asciiTheme="minorHAnsi" w:hAnsiTheme="minorHAnsi" w:cstheme="majorBidi"/>
          <w:sz w:val="24"/>
          <w:szCs w:val="24"/>
        </w:rPr>
        <w:t xml:space="preserve"> </w:t>
      </w:r>
      <w:r w:rsidRPr="009913E3">
        <w:rPr>
          <w:rFonts w:asciiTheme="minorHAnsi" w:hAnsiTheme="minorHAnsi" w:cstheme="majorBidi"/>
          <w:i/>
          <w:iCs/>
          <w:sz w:val="24"/>
          <w:szCs w:val="24"/>
        </w:rPr>
        <w:t>London Assurance Co</w:t>
      </w:r>
      <w:r w:rsidRPr="009913E3">
        <w:rPr>
          <w:rFonts w:asciiTheme="minorHAnsi" w:hAnsiTheme="minorHAnsi" w:cstheme="majorBidi"/>
          <w:sz w:val="24"/>
          <w:szCs w:val="24"/>
        </w:rPr>
        <w:t>., 2 Lil.L. Rep., 1927.</w:t>
      </w:r>
    </w:p>
    <w:p w:rsidR="006F1B18" w:rsidRDefault="006F1B18"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Norso</w:t>
      </w:r>
      <w:r w:rsidR="0025164B">
        <w:rPr>
          <w:rFonts w:asciiTheme="minorHAnsi" w:hAnsiTheme="minorHAnsi" w:cstheme="majorBidi"/>
          <w:sz w:val="24"/>
          <w:szCs w:val="24"/>
        </w:rPr>
        <w:t xml:space="preserve">lor SA -v- Pabalk Ticaret Ltd, </w:t>
      </w:r>
      <w:r w:rsidRPr="009913E3">
        <w:rPr>
          <w:rFonts w:asciiTheme="minorHAnsi" w:hAnsiTheme="minorHAnsi" w:cstheme="majorBidi"/>
          <w:sz w:val="24"/>
          <w:szCs w:val="24"/>
        </w:rPr>
        <w:t>1984</w:t>
      </w:r>
      <w:r w:rsidR="0025164B">
        <w:rPr>
          <w:rFonts w:asciiTheme="minorHAnsi" w:hAnsiTheme="minorHAnsi" w:cstheme="majorBidi"/>
          <w:sz w:val="24"/>
          <w:szCs w:val="24"/>
        </w:rPr>
        <w:t>,</w:t>
      </w:r>
      <w:r w:rsidRPr="009913E3">
        <w:rPr>
          <w:rFonts w:asciiTheme="minorHAnsi" w:hAnsiTheme="minorHAnsi" w:cstheme="majorBidi"/>
          <w:sz w:val="24"/>
          <w:szCs w:val="24"/>
        </w:rPr>
        <w:t xml:space="preserve"> IX Yearbook 159.</w:t>
      </w:r>
    </w:p>
    <w:p w:rsidR="006F1B18" w:rsidRPr="006F1B18" w:rsidRDefault="006F1B18"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Northrop Co</w:t>
      </w:r>
      <w:r w:rsidR="0025164B">
        <w:rPr>
          <w:rFonts w:asciiTheme="minorHAnsi" w:hAnsiTheme="minorHAnsi" w:cstheme="majorBidi"/>
          <w:sz w:val="24"/>
          <w:szCs w:val="24"/>
        </w:rPr>
        <w:t xml:space="preserve">rp. -v- Triad 593 F. Supp. 928, </w:t>
      </w:r>
      <w:r w:rsidRPr="009913E3">
        <w:rPr>
          <w:rFonts w:asciiTheme="minorHAnsi" w:hAnsiTheme="minorHAnsi" w:cstheme="majorBidi"/>
          <w:sz w:val="24"/>
          <w:szCs w:val="24"/>
        </w:rPr>
        <w:t>1984.</w:t>
      </w:r>
    </w:p>
    <w:p w:rsidR="002E2573" w:rsidRPr="00785227" w:rsidRDefault="002E2573"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 xml:space="preserve">Omnium de Traitement et de Valorisation SA –v- Hilmarton </w:t>
      </w:r>
      <w:r w:rsidR="0025164B">
        <w:rPr>
          <w:rFonts w:asciiTheme="minorHAnsi" w:hAnsiTheme="minorHAnsi" w:cstheme="majorBidi"/>
          <w:sz w:val="24"/>
          <w:szCs w:val="24"/>
        </w:rPr>
        <w:t xml:space="preserve">Ltd, </w:t>
      </w:r>
      <w:r w:rsidRPr="009913E3">
        <w:rPr>
          <w:rFonts w:asciiTheme="minorHAnsi" w:hAnsiTheme="minorHAnsi" w:cstheme="majorBidi"/>
          <w:sz w:val="24"/>
          <w:szCs w:val="24"/>
        </w:rPr>
        <w:t xml:space="preserve">1999, XXIV </w:t>
      </w:r>
      <w:r w:rsidRPr="009913E3">
        <w:rPr>
          <w:rFonts w:asciiTheme="minorHAnsi" w:hAnsiTheme="minorHAnsi" w:cstheme="majorBidi"/>
          <w:i/>
          <w:iCs/>
          <w:sz w:val="24"/>
          <w:szCs w:val="24"/>
        </w:rPr>
        <w:t xml:space="preserve">Yearbook </w:t>
      </w:r>
      <w:r w:rsidRPr="009913E3">
        <w:rPr>
          <w:rFonts w:asciiTheme="minorHAnsi" w:hAnsiTheme="minorHAnsi" w:cstheme="majorBidi"/>
          <w:sz w:val="24"/>
          <w:szCs w:val="24"/>
        </w:rPr>
        <w:t>777.</w:t>
      </w:r>
    </w:p>
    <w:p w:rsidR="00EF6A6C" w:rsidRPr="00EF6A6C" w:rsidRDefault="002353E8"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Parsons &amp; Whittemore Overseas Co., Inc. -v- Société Générale de l’Industrie du Papier RAKTA and</w:t>
      </w:r>
      <w:r w:rsidR="0025164B">
        <w:rPr>
          <w:rFonts w:asciiTheme="minorHAnsi" w:hAnsiTheme="minorHAnsi" w:cstheme="majorBidi"/>
          <w:sz w:val="24"/>
          <w:szCs w:val="24"/>
        </w:rPr>
        <w:t xml:space="preserve"> Bank of America 508 F. 2d 969, </w:t>
      </w:r>
      <w:r w:rsidRPr="009913E3">
        <w:rPr>
          <w:rFonts w:asciiTheme="minorHAnsi" w:hAnsiTheme="minorHAnsi" w:cstheme="majorBidi"/>
          <w:sz w:val="24"/>
          <w:szCs w:val="24"/>
        </w:rPr>
        <w:t>2nd Cir., 1974.</w:t>
      </w:r>
    </w:p>
    <w:p w:rsidR="005351E6"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Philippines - Oil and Natural Gas C</w:t>
      </w:r>
      <w:r w:rsidR="002D0EAD">
        <w:rPr>
          <w:rFonts w:asciiTheme="minorHAnsi" w:hAnsiTheme="minorHAnsi" w:cstheme="majorBidi"/>
          <w:sz w:val="24"/>
          <w:szCs w:val="24"/>
        </w:rPr>
        <w:t xml:space="preserve">ommission -v- Court of Appeals </w:t>
      </w:r>
      <w:r w:rsidR="0025164B">
        <w:rPr>
          <w:rFonts w:asciiTheme="minorHAnsi" w:hAnsiTheme="minorHAnsi" w:cstheme="majorBidi"/>
          <w:sz w:val="24"/>
          <w:szCs w:val="24"/>
        </w:rPr>
        <w:t>,1998</w:t>
      </w:r>
      <w:r w:rsidRPr="009913E3">
        <w:rPr>
          <w:rFonts w:asciiTheme="minorHAnsi" w:hAnsiTheme="minorHAnsi" w:cstheme="majorBidi"/>
          <w:sz w:val="24"/>
          <w:szCs w:val="24"/>
        </w:rPr>
        <w:t>, 293 SCRA.</w:t>
      </w:r>
    </w:p>
    <w:p w:rsidR="001B75EC" w:rsidRPr="001B75EC" w:rsidRDefault="001B75EC"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Shearson/American Express, Inc. -v- McMahon, 482 U.S. 220</w:t>
      </w:r>
      <w:r w:rsidR="002D0EAD">
        <w:rPr>
          <w:rFonts w:asciiTheme="minorHAnsi" w:hAnsiTheme="minorHAnsi" w:cstheme="majorBidi"/>
          <w:sz w:val="24"/>
          <w:szCs w:val="24"/>
        </w:rPr>
        <w:t xml:space="preserve">, </w:t>
      </w:r>
      <w:r w:rsidRPr="009913E3">
        <w:rPr>
          <w:rFonts w:asciiTheme="minorHAnsi" w:hAnsiTheme="minorHAnsi" w:cstheme="majorBidi"/>
          <w:sz w:val="24"/>
          <w:szCs w:val="24"/>
        </w:rPr>
        <w:t>1997.</w:t>
      </w:r>
    </w:p>
    <w:p w:rsidR="008F2B7A" w:rsidRPr="008F2B7A" w:rsidRDefault="008F2B7A"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i/>
          <w:iCs/>
          <w:sz w:val="24"/>
          <w:szCs w:val="24"/>
        </w:rPr>
        <w:t>Scherk -v- Alberto-Culver Co</w:t>
      </w:r>
      <w:r w:rsidR="002D0EAD">
        <w:rPr>
          <w:rFonts w:asciiTheme="minorHAnsi" w:hAnsiTheme="minorHAnsi" w:cstheme="majorBidi"/>
          <w:sz w:val="24"/>
          <w:szCs w:val="24"/>
        </w:rPr>
        <w:t>., 417 U.S. 506, 1974</w:t>
      </w:r>
      <w:r w:rsidRPr="009913E3">
        <w:rPr>
          <w:rFonts w:asciiTheme="minorHAnsi" w:hAnsiTheme="minorHAnsi" w:cstheme="majorBidi"/>
          <w:sz w:val="24"/>
          <w:szCs w:val="24"/>
        </w:rPr>
        <w:t>.</w:t>
      </w:r>
    </w:p>
    <w:p w:rsidR="002E2573" w:rsidRDefault="002E2573"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 xml:space="preserve">Re an arbitration between Hainan Machinery Import and Export Corporation </w:t>
      </w:r>
      <w:r w:rsidR="002D0EAD">
        <w:rPr>
          <w:rFonts w:asciiTheme="minorHAnsi" w:hAnsiTheme="minorHAnsi" w:cstheme="majorBidi"/>
          <w:sz w:val="24"/>
          <w:szCs w:val="24"/>
        </w:rPr>
        <w:t xml:space="preserve">and Donald &amp; McArthy Pte. Ltd, </w:t>
      </w:r>
      <w:r w:rsidRPr="009913E3">
        <w:rPr>
          <w:rFonts w:asciiTheme="minorHAnsi" w:hAnsiTheme="minorHAnsi" w:cstheme="majorBidi"/>
          <w:sz w:val="24"/>
          <w:szCs w:val="24"/>
        </w:rPr>
        <w:t>1996, 1 SLR 34 at 46.</w:t>
      </w:r>
    </w:p>
    <w:p w:rsidR="008F2B7A" w:rsidRDefault="008F2B7A"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i/>
          <w:iCs/>
          <w:sz w:val="24"/>
          <w:szCs w:val="24"/>
        </w:rPr>
        <w:t>Renusagar Power Co. Ltd -v- General Electric Co</w:t>
      </w:r>
      <w:r w:rsidRPr="009913E3">
        <w:rPr>
          <w:rFonts w:asciiTheme="minorHAnsi" w:hAnsiTheme="minorHAnsi" w:cstheme="majorBidi"/>
          <w:sz w:val="24"/>
          <w:szCs w:val="24"/>
        </w:rPr>
        <w:t>., 1995, XX Yearbook 681.</w:t>
      </w:r>
    </w:p>
    <w:p w:rsidR="001306DA" w:rsidRPr="001306DA" w:rsidRDefault="001306DA"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Report “Study on the application and interpretation of the Convention on the Recognition and Enforcement of Foreign Arbitral Awards”, UN Doc. A/CN. 9/168.</w:t>
      </w:r>
    </w:p>
    <w:p w:rsidR="001306DA" w:rsidRPr="001306DA" w:rsidRDefault="001306DA"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lastRenderedPageBreak/>
        <w:t>Report of the Committee on the Enforcement of International Arbitral Awards, 28 March 1955, UN Doc. E/2704 and E/AC.42/4/Rev.1.</w:t>
      </w:r>
    </w:p>
    <w:p w:rsidR="00A1755F" w:rsidRDefault="00A1755F"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Republique de Cote d’Ivoire -v- Norbert B</w:t>
      </w:r>
      <w:r>
        <w:rPr>
          <w:rFonts w:asciiTheme="minorHAnsi" w:hAnsiTheme="minorHAnsi" w:cstheme="majorBidi"/>
          <w:sz w:val="24"/>
          <w:szCs w:val="24"/>
        </w:rPr>
        <w:t>eyrard</w:t>
      </w:r>
      <w:r w:rsidRPr="009913E3">
        <w:rPr>
          <w:rFonts w:asciiTheme="minorHAnsi" w:hAnsiTheme="minorHAnsi" w:cstheme="majorBidi"/>
          <w:sz w:val="24"/>
          <w:szCs w:val="24"/>
        </w:rPr>
        <w:t>, (1993) Rev. Arb. 685.</w:t>
      </w:r>
    </w:p>
    <w:p w:rsidR="00037523" w:rsidRPr="00037523" w:rsidRDefault="00037523"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Rodriguez de Quijas –v- Shearson/Americ</w:t>
      </w:r>
      <w:r w:rsidR="002D0EAD">
        <w:rPr>
          <w:rFonts w:asciiTheme="minorHAnsi" w:hAnsiTheme="minorHAnsi" w:cstheme="majorBidi"/>
          <w:sz w:val="24"/>
          <w:szCs w:val="24"/>
        </w:rPr>
        <w:t xml:space="preserve">an Express, Inc., 109 S.Ct 1917, </w:t>
      </w:r>
      <w:r w:rsidRPr="009913E3">
        <w:rPr>
          <w:rFonts w:asciiTheme="minorHAnsi" w:hAnsiTheme="minorHAnsi" w:cstheme="majorBidi"/>
          <w:sz w:val="24"/>
          <w:szCs w:val="24"/>
        </w:rPr>
        <w:t>1989.</w:t>
      </w:r>
    </w:p>
    <w:p w:rsidR="005351E6" w:rsidRPr="009913E3"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Soleima</w:t>
      </w:r>
      <w:r w:rsidR="002D0EAD">
        <w:rPr>
          <w:rFonts w:asciiTheme="minorHAnsi" w:hAnsiTheme="minorHAnsi" w:cstheme="majorBidi"/>
          <w:sz w:val="24"/>
          <w:szCs w:val="24"/>
        </w:rPr>
        <w:t xml:space="preserve">ny v. Soleimany, Q.B. 785, 804, </w:t>
      </w:r>
      <w:r w:rsidRPr="009913E3">
        <w:rPr>
          <w:rFonts w:asciiTheme="minorHAnsi" w:hAnsiTheme="minorHAnsi" w:cstheme="majorBidi"/>
          <w:sz w:val="24"/>
          <w:szCs w:val="24"/>
        </w:rPr>
        <w:t>C.A.</w:t>
      </w:r>
      <w:r w:rsidR="002D0EAD">
        <w:rPr>
          <w:rFonts w:asciiTheme="minorHAnsi" w:hAnsiTheme="minorHAnsi" w:cstheme="majorBidi"/>
          <w:sz w:val="24"/>
          <w:szCs w:val="24"/>
        </w:rPr>
        <w:t xml:space="preserve">, </w:t>
      </w:r>
      <w:r w:rsidRPr="009913E3">
        <w:rPr>
          <w:rFonts w:asciiTheme="minorHAnsi" w:hAnsiTheme="minorHAnsi" w:cstheme="majorBidi"/>
          <w:sz w:val="24"/>
          <w:szCs w:val="24"/>
        </w:rPr>
        <w:t>Eng.</w:t>
      </w:r>
      <w:r w:rsidR="002D0EAD">
        <w:rPr>
          <w:rFonts w:asciiTheme="minorHAnsi" w:hAnsiTheme="minorHAnsi" w:cstheme="majorBidi"/>
          <w:sz w:val="24"/>
          <w:szCs w:val="24"/>
        </w:rPr>
        <w:t>, 1999</w:t>
      </w:r>
      <w:r w:rsidRPr="009913E3">
        <w:rPr>
          <w:rFonts w:asciiTheme="minorHAnsi" w:hAnsiTheme="minorHAnsi" w:cstheme="majorBidi"/>
          <w:sz w:val="24"/>
          <w:szCs w:val="24"/>
        </w:rPr>
        <w:t>.</w:t>
      </w:r>
    </w:p>
    <w:p w:rsidR="00DD2F8A"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The Arab Republic of Egypt -v- Chro</w:t>
      </w:r>
      <w:r w:rsidR="00037523">
        <w:rPr>
          <w:rFonts w:asciiTheme="minorHAnsi" w:hAnsiTheme="minorHAnsi" w:cstheme="majorBidi"/>
          <w:sz w:val="24"/>
          <w:szCs w:val="24"/>
        </w:rPr>
        <w:t>malloy Aeroservices Inc.,</w:t>
      </w:r>
      <w:r w:rsidR="00AD76A5">
        <w:rPr>
          <w:rFonts w:asciiTheme="minorHAnsi" w:hAnsiTheme="minorHAnsi" w:cstheme="majorBidi"/>
          <w:sz w:val="24"/>
          <w:szCs w:val="24"/>
        </w:rPr>
        <w:t xml:space="preserve"> </w:t>
      </w:r>
      <w:r w:rsidRPr="009913E3">
        <w:rPr>
          <w:rFonts w:asciiTheme="minorHAnsi" w:hAnsiTheme="minorHAnsi" w:cstheme="majorBidi"/>
          <w:sz w:val="24"/>
          <w:szCs w:val="24"/>
        </w:rPr>
        <w:t>1997</w:t>
      </w:r>
      <w:r w:rsidR="002D0EAD">
        <w:rPr>
          <w:rFonts w:asciiTheme="minorHAnsi" w:hAnsiTheme="minorHAnsi" w:cstheme="majorBidi"/>
          <w:sz w:val="24"/>
          <w:szCs w:val="24"/>
        </w:rPr>
        <w:t>,</w:t>
      </w:r>
      <w:r w:rsidRPr="009913E3">
        <w:rPr>
          <w:rFonts w:asciiTheme="minorHAnsi" w:hAnsiTheme="minorHAnsi" w:cstheme="majorBidi"/>
          <w:sz w:val="24"/>
          <w:szCs w:val="24"/>
        </w:rPr>
        <w:t xml:space="preserve"> XXII Yearbook 691.</w:t>
      </w:r>
    </w:p>
    <w:p w:rsidR="00CE7961" w:rsidRDefault="00CE7961"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UN Doc. A/CN. 9/263 Add. 2.</w:t>
      </w:r>
    </w:p>
    <w:p w:rsidR="00B93196" w:rsidRDefault="00B9319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UN Doc. A/40/17.</w:t>
      </w:r>
    </w:p>
    <w:p w:rsidR="00420B5B" w:rsidRPr="00420B5B" w:rsidRDefault="00420B5B"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i/>
          <w:iCs/>
          <w:sz w:val="24"/>
          <w:szCs w:val="24"/>
        </w:rPr>
        <w:t>W. -v- F. and V.</w:t>
      </w:r>
      <w:r w:rsidR="00AD76A5">
        <w:rPr>
          <w:rFonts w:asciiTheme="minorHAnsi" w:hAnsiTheme="minorHAnsi" w:cstheme="majorBidi"/>
          <w:sz w:val="24"/>
          <w:szCs w:val="24"/>
        </w:rPr>
        <w:t xml:space="preserve">, </w:t>
      </w:r>
      <w:r w:rsidRPr="009913E3">
        <w:rPr>
          <w:rFonts w:asciiTheme="minorHAnsi" w:hAnsiTheme="minorHAnsi" w:cstheme="majorBidi"/>
          <w:sz w:val="24"/>
          <w:szCs w:val="24"/>
        </w:rPr>
        <w:t>1995</w:t>
      </w:r>
      <w:r w:rsidR="00AD76A5">
        <w:rPr>
          <w:rFonts w:asciiTheme="minorHAnsi" w:hAnsiTheme="minorHAnsi" w:cstheme="majorBidi"/>
          <w:sz w:val="24"/>
          <w:szCs w:val="24"/>
        </w:rPr>
        <w:t>,</w:t>
      </w:r>
      <w:r w:rsidRPr="009913E3">
        <w:rPr>
          <w:rFonts w:asciiTheme="minorHAnsi" w:hAnsiTheme="minorHAnsi" w:cstheme="majorBidi"/>
          <w:sz w:val="24"/>
          <w:szCs w:val="24"/>
        </w:rPr>
        <w:t xml:space="preserve"> Bull. ASA 217.</w:t>
      </w:r>
    </w:p>
    <w:p w:rsidR="005351E6" w:rsidRDefault="005351E6"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Westacre Invs. Inc. v. Jug</w:t>
      </w:r>
      <w:r w:rsidR="00AD76A5">
        <w:rPr>
          <w:rFonts w:asciiTheme="minorHAnsi" w:hAnsiTheme="minorHAnsi" w:cstheme="majorBidi"/>
          <w:sz w:val="24"/>
          <w:szCs w:val="24"/>
        </w:rPr>
        <w:t xml:space="preserve">oimport-SPDR Holding Co. Ltd., </w:t>
      </w:r>
      <w:r w:rsidRPr="009913E3">
        <w:rPr>
          <w:rFonts w:asciiTheme="minorHAnsi" w:hAnsiTheme="minorHAnsi" w:cstheme="majorBidi"/>
          <w:sz w:val="24"/>
          <w:szCs w:val="24"/>
        </w:rPr>
        <w:t>1999</w:t>
      </w:r>
      <w:r w:rsidR="00AD76A5">
        <w:rPr>
          <w:rFonts w:asciiTheme="minorHAnsi" w:hAnsiTheme="minorHAnsi" w:cstheme="majorBidi"/>
          <w:sz w:val="24"/>
          <w:szCs w:val="24"/>
        </w:rPr>
        <w:t>,</w:t>
      </w:r>
      <w:r w:rsidRPr="009913E3">
        <w:rPr>
          <w:rFonts w:asciiTheme="minorHAnsi" w:hAnsiTheme="minorHAnsi" w:cstheme="majorBidi"/>
          <w:sz w:val="24"/>
          <w:szCs w:val="24"/>
        </w:rPr>
        <w:t xml:space="preserve"> Q.B. 740, </w:t>
      </w:r>
      <w:r w:rsidR="00AD76A5">
        <w:rPr>
          <w:rFonts w:asciiTheme="minorHAnsi" w:hAnsiTheme="minorHAnsi" w:cstheme="majorBidi"/>
          <w:sz w:val="24"/>
          <w:szCs w:val="24"/>
        </w:rPr>
        <w:t>757 (Comm. Ct.) (Eng.), aff’d, 2000,</w:t>
      </w:r>
      <w:r w:rsidRPr="009913E3">
        <w:rPr>
          <w:rFonts w:asciiTheme="minorHAnsi" w:hAnsiTheme="minorHAnsi" w:cstheme="majorBidi"/>
          <w:sz w:val="24"/>
          <w:szCs w:val="24"/>
        </w:rPr>
        <w:t xml:space="preserve"> 1 Q.B. 288 (C.A.) (Eng.).</w:t>
      </w:r>
    </w:p>
    <w:p w:rsidR="002E2573" w:rsidRPr="009913E3" w:rsidRDefault="002E2573"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Westacre Investments Inc. -v- J</w:t>
      </w:r>
      <w:r w:rsidR="00AD76A5">
        <w:rPr>
          <w:rFonts w:asciiTheme="minorHAnsi" w:hAnsiTheme="minorHAnsi" w:cstheme="majorBidi"/>
          <w:sz w:val="24"/>
          <w:szCs w:val="24"/>
        </w:rPr>
        <w:t xml:space="preserve">ugoimport-SDPR Holding Co. Ltd, </w:t>
      </w:r>
      <w:r w:rsidRPr="009913E3">
        <w:rPr>
          <w:rFonts w:asciiTheme="minorHAnsi" w:hAnsiTheme="minorHAnsi" w:cstheme="majorBidi"/>
          <w:sz w:val="24"/>
          <w:szCs w:val="24"/>
        </w:rPr>
        <w:t>1999, 2 Lloyd’s Rep. 65 at 74, per Waller LJ.</w:t>
      </w:r>
    </w:p>
    <w:p w:rsidR="002E2573" w:rsidRPr="003050CE" w:rsidRDefault="003050CE" w:rsidP="003F13D7">
      <w:pPr>
        <w:pStyle w:val="ListParagraph"/>
        <w:numPr>
          <w:ilvl w:val="0"/>
          <w:numId w:val="7"/>
        </w:numPr>
        <w:spacing w:after="200" w:line="276" w:lineRule="auto"/>
        <w:jc w:val="left"/>
        <w:rPr>
          <w:rFonts w:asciiTheme="minorHAnsi" w:hAnsiTheme="minorHAnsi" w:cstheme="majorBidi"/>
          <w:sz w:val="24"/>
          <w:szCs w:val="24"/>
        </w:rPr>
      </w:pPr>
      <w:r w:rsidRPr="009913E3">
        <w:rPr>
          <w:rFonts w:asciiTheme="minorHAnsi" w:hAnsiTheme="minorHAnsi" w:cstheme="majorBidi"/>
          <w:sz w:val="24"/>
          <w:szCs w:val="24"/>
        </w:rPr>
        <w:t>Willis -v- Shearson and American</w:t>
      </w:r>
      <w:r w:rsidR="00AD76A5">
        <w:rPr>
          <w:rFonts w:asciiTheme="minorHAnsi" w:hAnsiTheme="minorHAnsi" w:cstheme="majorBidi"/>
          <w:sz w:val="24"/>
          <w:szCs w:val="24"/>
        </w:rPr>
        <w:t xml:space="preserve"> Express Inc. 569 F. Supp. 821, DCNC, 1983.</w:t>
      </w:r>
    </w:p>
    <w:p w:rsidR="00CD1106" w:rsidRPr="00785227" w:rsidRDefault="005351E6" w:rsidP="003F13D7">
      <w:pPr>
        <w:pStyle w:val="ListParagraph"/>
        <w:numPr>
          <w:ilvl w:val="0"/>
          <w:numId w:val="7"/>
        </w:numPr>
        <w:spacing w:after="200" w:line="276" w:lineRule="auto"/>
        <w:jc w:val="left"/>
        <w:rPr>
          <w:rFonts w:asciiTheme="minorHAnsi" w:hAnsiTheme="minorHAnsi" w:cstheme="majorBidi"/>
          <w:sz w:val="24"/>
          <w:szCs w:val="24"/>
          <w:rtl/>
        </w:rPr>
      </w:pPr>
      <w:r w:rsidRPr="009913E3">
        <w:rPr>
          <w:rFonts w:asciiTheme="minorHAnsi" w:hAnsiTheme="minorHAnsi" w:cstheme="majorBidi"/>
          <w:sz w:val="24"/>
          <w:szCs w:val="24"/>
        </w:rPr>
        <w:t>Zimbabwe Electricity Supply Authority -v- Maposa, decision dated 21 December 1999, judgment no. 114/99.</w:t>
      </w:r>
    </w:p>
    <w:p w:rsidR="00685F59" w:rsidRPr="00685F59" w:rsidRDefault="00685F59" w:rsidP="00685F59">
      <w:pPr>
        <w:spacing w:after="200" w:line="276" w:lineRule="auto"/>
        <w:ind w:left="-270"/>
        <w:jc w:val="left"/>
        <w:rPr>
          <w:rFonts w:asciiTheme="minorHAnsi" w:hAnsiTheme="minorHAnsi"/>
          <w:sz w:val="24"/>
          <w:szCs w:val="24"/>
          <w:lang w:bidi="fa-IR"/>
        </w:rPr>
      </w:pPr>
    </w:p>
    <w:p w:rsidR="009E32D4" w:rsidRPr="00226F0F" w:rsidRDefault="009E32D4" w:rsidP="00790DF5">
      <w:pPr>
        <w:pStyle w:val="Heading1"/>
        <w:ind w:firstLine="0"/>
        <w:jc w:val="both"/>
      </w:pPr>
    </w:p>
    <w:p w:rsidR="009E32D4" w:rsidRDefault="00F364C1" w:rsidP="00F364C1">
      <w:pPr>
        <w:rPr>
          <w:b/>
          <w:bCs/>
          <w:sz w:val="30"/>
          <w:szCs w:val="30"/>
          <w:rtl/>
        </w:rPr>
      </w:pPr>
      <w:r w:rsidRPr="00F364C1">
        <w:rPr>
          <w:rFonts w:hint="cs"/>
          <w:b/>
          <w:bCs/>
          <w:sz w:val="30"/>
          <w:szCs w:val="30"/>
          <w:rtl/>
        </w:rPr>
        <w:t>سایت‌های اینترنتی</w:t>
      </w:r>
    </w:p>
    <w:p w:rsidR="009E32D4" w:rsidRPr="00F364C1" w:rsidRDefault="009E32D4" w:rsidP="00790DF5">
      <w:pPr>
        <w:pStyle w:val="Heading1"/>
        <w:ind w:firstLine="0"/>
        <w:jc w:val="both"/>
      </w:pPr>
    </w:p>
    <w:p w:rsidR="00036B15" w:rsidRPr="00541DAE" w:rsidRDefault="003B02A5" w:rsidP="003F13D7">
      <w:pPr>
        <w:pStyle w:val="ListParagraph"/>
        <w:numPr>
          <w:ilvl w:val="0"/>
          <w:numId w:val="5"/>
        </w:numPr>
        <w:jc w:val="left"/>
        <w:rPr>
          <w:rFonts w:asciiTheme="minorHAnsi" w:hAnsiTheme="minorHAnsi" w:cstheme="majorBidi"/>
          <w:sz w:val="24"/>
          <w:szCs w:val="24"/>
          <w:lang w:bidi="fa-IR"/>
        </w:rPr>
      </w:pPr>
      <w:hyperlink r:id="rId11" w:history="1">
        <w:r w:rsidR="00541DAE" w:rsidRPr="00541DAE">
          <w:rPr>
            <w:rStyle w:val="Hyperlink"/>
            <w:rFonts w:asciiTheme="minorHAnsi" w:hAnsiTheme="minorHAnsi" w:cstheme="majorBidi"/>
            <w:color w:val="auto"/>
            <w:sz w:val="24"/>
            <w:szCs w:val="24"/>
            <w:lang w:bidi="fa-IR"/>
          </w:rPr>
          <w:t>http://www.kluwer</w:t>
        </w:r>
      </w:hyperlink>
      <w:r w:rsidR="00541DAE" w:rsidRPr="00541DAE">
        <w:rPr>
          <w:rFonts w:asciiTheme="minorHAnsi" w:hAnsiTheme="minorHAnsi" w:cstheme="majorBidi"/>
          <w:sz w:val="24"/>
          <w:szCs w:val="24"/>
          <w:lang w:bidi="fa-IR"/>
        </w:rPr>
        <w:t>arbitration.com</w:t>
      </w:r>
    </w:p>
    <w:p w:rsidR="009E32D4" w:rsidRPr="00541DAE" w:rsidRDefault="003B02A5" w:rsidP="003F13D7">
      <w:pPr>
        <w:pStyle w:val="ListParagraph"/>
        <w:numPr>
          <w:ilvl w:val="0"/>
          <w:numId w:val="5"/>
        </w:numPr>
        <w:jc w:val="left"/>
        <w:rPr>
          <w:rStyle w:val="Hyperlink"/>
          <w:rFonts w:asciiTheme="minorHAnsi" w:hAnsiTheme="minorHAnsi" w:cstheme="majorBidi"/>
          <w:color w:val="auto"/>
          <w:sz w:val="24"/>
          <w:szCs w:val="24"/>
          <w:u w:val="none"/>
          <w:lang w:bidi="fa-IR"/>
        </w:rPr>
      </w:pPr>
      <w:hyperlink r:id="rId12" w:history="1">
        <w:r w:rsidR="009E32D4" w:rsidRPr="00541DAE">
          <w:rPr>
            <w:rStyle w:val="Hyperlink"/>
            <w:rFonts w:asciiTheme="minorHAnsi" w:hAnsiTheme="minorHAnsi"/>
            <w:color w:val="auto"/>
            <w:sz w:val="24"/>
            <w:szCs w:val="24"/>
            <w:lang w:bidi="fa-IR"/>
          </w:rPr>
          <w:t>http://www.arbitration-icca.org</w:t>
        </w:r>
      </w:hyperlink>
    </w:p>
    <w:p w:rsidR="00036B15" w:rsidRPr="00541DAE" w:rsidRDefault="003B02A5" w:rsidP="003F13D7">
      <w:pPr>
        <w:pStyle w:val="ListParagraph"/>
        <w:numPr>
          <w:ilvl w:val="0"/>
          <w:numId w:val="5"/>
        </w:numPr>
        <w:jc w:val="left"/>
        <w:rPr>
          <w:rFonts w:asciiTheme="minorHAnsi" w:hAnsiTheme="minorHAnsi" w:cstheme="majorBidi"/>
          <w:sz w:val="24"/>
          <w:szCs w:val="24"/>
          <w:lang w:bidi="fa-IR"/>
        </w:rPr>
      </w:pPr>
      <w:hyperlink r:id="rId13" w:history="1">
        <w:r w:rsidR="00036B15" w:rsidRPr="00541DAE">
          <w:rPr>
            <w:rStyle w:val="Hyperlink"/>
            <w:rFonts w:asciiTheme="minorHAnsi" w:hAnsiTheme="minorHAnsi" w:cstheme="majorBidi"/>
            <w:color w:val="auto"/>
            <w:sz w:val="24"/>
            <w:szCs w:val="24"/>
            <w:lang w:bidi="fa-IR"/>
          </w:rPr>
          <w:t>http://www.arbitration.ir</w:t>
        </w:r>
      </w:hyperlink>
    </w:p>
    <w:p w:rsidR="00036B15" w:rsidRPr="00541DAE" w:rsidRDefault="00067F64" w:rsidP="003F13D7">
      <w:pPr>
        <w:pStyle w:val="ListParagraph"/>
        <w:numPr>
          <w:ilvl w:val="0"/>
          <w:numId w:val="5"/>
        </w:numPr>
        <w:jc w:val="left"/>
        <w:rPr>
          <w:rFonts w:asciiTheme="minorHAnsi" w:hAnsiTheme="minorHAnsi" w:cstheme="majorBidi"/>
          <w:sz w:val="24"/>
          <w:szCs w:val="24"/>
          <w:lang w:bidi="fa-IR"/>
        </w:rPr>
      </w:pPr>
      <w:r w:rsidRPr="00541DAE">
        <w:rPr>
          <w:rFonts w:asciiTheme="minorHAnsi" w:hAnsiTheme="minorHAnsi" w:cstheme="majorBidi"/>
          <w:sz w:val="24"/>
          <w:szCs w:val="24"/>
          <w:lang w:bidi="fa-IR"/>
        </w:rPr>
        <w:t>http://www.ila-hq.org</w:t>
      </w:r>
    </w:p>
    <w:p w:rsidR="00067F64" w:rsidRPr="00541DAE" w:rsidRDefault="003B02A5" w:rsidP="003F13D7">
      <w:pPr>
        <w:pStyle w:val="ListParagraph"/>
        <w:numPr>
          <w:ilvl w:val="0"/>
          <w:numId w:val="5"/>
        </w:numPr>
        <w:jc w:val="left"/>
        <w:rPr>
          <w:rFonts w:asciiTheme="minorHAnsi" w:hAnsiTheme="minorHAnsi" w:cstheme="majorBidi"/>
          <w:sz w:val="24"/>
          <w:szCs w:val="24"/>
          <w:lang w:bidi="fa-IR"/>
        </w:rPr>
      </w:pPr>
      <w:hyperlink r:id="rId14" w:history="1">
        <w:r w:rsidR="00067F64" w:rsidRPr="00541DAE">
          <w:rPr>
            <w:rStyle w:val="Hyperlink"/>
            <w:rFonts w:asciiTheme="minorHAnsi" w:hAnsiTheme="minorHAnsi" w:cstheme="majorBidi"/>
            <w:color w:val="auto"/>
            <w:sz w:val="24"/>
            <w:szCs w:val="24"/>
            <w:lang w:bidi="fa-IR"/>
          </w:rPr>
          <w:t>http://www.un.org</w:t>
        </w:r>
      </w:hyperlink>
    </w:p>
    <w:p w:rsidR="00036B15" w:rsidRPr="00541DAE" w:rsidRDefault="00036B15" w:rsidP="00541DAE">
      <w:pPr>
        <w:jc w:val="left"/>
        <w:rPr>
          <w:rFonts w:asciiTheme="minorHAnsi" w:hAnsiTheme="minorHAnsi" w:cstheme="majorBidi"/>
          <w:sz w:val="24"/>
          <w:szCs w:val="24"/>
          <w:lang w:bidi="fa-IR"/>
        </w:rPr>
      </w:pPr>
    </w:p>
    <w:p w:rsidR="009E32D4" w:rsidRDefault="009E32D4" w:rsidP="003D77FE">
      <w:pPr>
        <w:ind w:firstLine="360"/>
        <w:jc w:val="mediumKashida"/>
        <w:rPr>
          <w:rFonts w:asciiTheme="minorHAnsi" w:hAnsiTheme="minorHAnsi" w:cstheme="majorBidi"/>
          <w:sz w:val="24"/>
          <w:szCs w:val="24"/>
          <w:lang w:bidi="fa-IR"/>
        </w:rPr>
      </w:pPr>
    </w:p>
    <w:p w:rsidR="00253990" w:rsidRDefault="00253990" w:rsidP="00253990">
      <w:pPr>
        <w:bidi/>
        <w:spacing w:after="200" w:line="276" w:lineRule="auto"/>
        <w:jc w:val="left"/>
        <w:rPr>
          <w:rFonts w:cs="B Zar"/>
          <w:b/>
          <w:bCs/>
          <w:sz w:val="40"/>
          <w:szCs w:val="40"/>
          <w:rtl/>
          <w:lang w:bidi="fa-IR"/>
        </w:rPr>
      </w:pPr>
    </w:p>
    <w:p w:rsidR="00253990" w:rsidRPr="00F37AFE" w:rsidRDefault="00253990" w:rsidP="00253990">
      <w:pPr>
        <w:bidi/>
        <w:jc w:val="center"/>
        <w:rPr>
          <w:rFonts w:cs="B Mitra"/>
          <w:b/>
          <w:bCs/>
        </w:rPr>
      </w:pPr>
      <w:r w:rsidRPr="00F37AFE">
        <w:rPr>
          <w:rFonts w:cs="B Mitra"/>
          <w:b/>
          <w:bCs/>
        </w:rPr>
        <w:t>Abstract</w:t>
      </w:r>
    </w:p>
    <w:p w:rsidR="00253990" w:rsidRDefault="00253990" w:rsidP="00253990">
      <w:pPr>
        <w:jc w:val="lowKashida"/>
        <w:rPr>
          <w:rFonts w:cs="B Mitra"/>
        </w:rPr>
      </w:pPr>
      <w:r w:rsidRPr="00F37AFE">
        <w:rPr>
          <w:rFonts w:cs="B Mitra"/>
        </w:rPr>
        <w:t>Arbitration is the most common way to settle disputes in international trade</w:t>
      </w:r>
      <w:r>
        <w:rPr>
          <w:rFonts w:cs="B Mitra"/>
        </w:rPr>
        <w:t xml:space="preserve"> that i</w:t>
      </w:r>
      <w:r w:rsidRPr="00F37AFE">
        <w:rPr>
          <w:rFonts w:cs="B Mitra"/>
        </w:rPr>
        <w:t>ncluding two dealing with the dispute and the recogni</w:t>
      </w:r>
      <w:r>
        <w:rPr>
          <w:rFonts w:cs="B Mitra"/>
        </w:rPr>
        <w:t>tion and enforcement of the verdict.</w:t>
      </w:r>
      <w:r w:rsidRPr="00F37AFE">
        <w:t xml:space="preserve"> </w:t>
      </w:r>
      <w:r w:rsidRPr="00F37AFE">
        <w:rPr>
          <w:rFonts w:cs="B Mitra"/>
        </w:rPr>
        <w:t>International commercial arbitration verdict issued by reference, by reference requires the operato</w:t>
      </w:r>
      <w:r>
        <w:rPr>
          <w:rFonts w:cs="B Mitra"/>
        </w:rPr>
        <w:t xml:space="preserve">r to be recognized and enforced. </w:t>
      </w:r>
      <w:r w:rsidRPr="00F37AFE">
        <w:rPr>
          <w:rFonts w:cs="B Mitra"/>
        </w:rPr>
        <w:t>The obstacles to carrying out that most general measure of public order and the greatest of them</w:t>
      </w:r>
      <w:r>
        <w:rPr>
          <w:rFonts w:cs="B Mitra"/>
        </w:rPr>
        <w:t xml:space="preserve">. </w:t>
      </w:r>
      <w:r w:rsidRPr="00F37AFE">
        <w:rPr>
          <w:rFonts w:cs="B Mitra"/>
        </w:rPr>
        <w:t>A variant of public order, public order, international organizations and represents a set of legal rules and principles of civilization of a country is inextricably and inevitably will precede the foreign law</w:t>
      </w:r>
      <w:r>
        <w:rPr>
          <w:rFonts w:cs="B Mitra"/>
        </w:rPr>
        <w:t xml:space="preserve">. </w:t>
      </w:r>
      <w:r w:rsidRPr="00F37AFE">
        <w:rPr>
          <w:rFonts w:cs="B Mitra"/>
        </w:rPr>
        <w:t>This order is an order between all countries, but the balance between the interests of public order and public order and the interests of a country with other nat</w:t>
      </w:r>
      <w:r>
        <w:rPr>
          <w:rFonts w:cs="B Mitra"/>
        </w:rPr>
        <w:t xml:space="preserve">ions and international business </w:t>
      </w:r>
      <w:r w:rsidRPr="00F37AFE">
        <w:rPr>
          <w:rFonts w:cs="B Mitra"/>
        </w:rPr>
        <w:t>needs</w:t>
      </w:r>
      <w:r>
        <w:rPr>
          <w:rFonts w:cs="B Mitra"/>
        </w:rPr>
        <w:t xml:space="preserve">. </w:t>
      </w:r>
      <w:r w:rsidRPr="00F37AFE">
        <w:rPr>
          <w:rFonts w:cs="B Mitra"/>
        </w:rPr>
        <w:t>In the exercise of public order in the enforcement of international commercial arbitration, the values and preventing the violation of internal rules and the desire to respect certain rules of international arbitration to resolve conflict occurs when a the most appropriate strategy this conflict Works the field of public order is narrow</w:t>
      </w:r>
      <w:r>
        <w:rPr>
          <w:rFonts w:cs="B Mitra"/>
        </w:rPr>
        <w:t>.</w:t>
      </w:r>
    </w:p>
    <w:p w:rsidR="00253990" w:rsidRDefault="00253990" w:rsidP="00253990">
      <w:pPr>
        <w:jc w:val="lowKashida"/>
        <w:rPr>
          <w:rFonts w:cs="B Mitra"/>
          <w:b/>
          <w:bCs/>
        </w:rPr>
      </w:pPr>
      <w:r>
        <w:rPr>
          <w:rFonts w:cs="B Mitra"/>
          <w:b/>
          <w:bCs/>
        </w:rPr>
        <w:t>Key words:</w:t>
      </w:r>
    </w:p>
    <w:p w:rsidR="00253990" w:rsidRPr="003D77FE" w:rsidRDefault="00253990" w:rsidP="00253990">
      <w:pPr>
        <w:ind w:firstLine="360"/>
        <w:jc w:val="mediumKashida"/>
        <w:rPr>
          <w:rFonts w:asciiTheme="minorHAnsi" w:hAnsiTheme="minorHAnsi" w:cstheme="majorBidi"/>
          <w:sz w:val="24"/>
          <w:szCs w:val="24"/>
          <w:lang w:bidi="fa-IR"/>
        </w:rPr>
      </w:pPr>
      <w:r>
        <w:rPr>
          <w:rFonts w:cs="B Mitra"/>
          <w:b/>
          <w:bCs/>
        </w:rPr>
        <w:t>International commercial arbitration- Recognition and excution- Public order- International public order- Enforcement of international arbitration.</w:t>
      </w:r>
    </w:p>
    <w:sectPr w:rsidR="00253990" w:rsidRPr="003D77FE" w:rsidSect="00DB55FF">
      <w:pgSz w:w="12240" w:h="15840"/>
      <w:pgMar w:top="2520" w:right="2520" w:bottom="1440" w:left="1800" w:header="0" w:footer="1123" w:gutter="0"/>
      <w:pgNumType w:start="1"/>
      <w:cols w:space="720"/>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A5" w:rsidRDefault="003B02A5" w:rsidP="00DB7FD5">
      <w:pPr>
        <w:spacing w:after="0" w:line="240" w:lineRule="auto"/>
      </w:pPr>
      <w:r>
        <w:separator/>
      </w:r>
    </w:p>
  </w:endnote>
  <w:endnote w:type="continuationSeparator" w:id="0">
    <w:p w:rsidR="003B02A5" w:rsidRDefault="003B02A5" w:rsidP="00DB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EE"/>
    <w:family w:val="roman"/>
    <w:pitch w:val="variable"/>
    <w:sig w:usb0="A00002EF" w:usb1="4000004B" w:usb2="00000000" w:usb3="00000000" w:csb0="0000009F" w:csb1="00000000"/>
  </w:font>
  <w:font w:name="B Dava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3084727"/>
      <w:docPartObj>
        <w:docPartGallery w:val="Page Numbers (Bottom of Page)"/>
        <w:docPartUnique/>
      </w:docPartObj>
    </w:sdtPr>
    <w:sdtEndPr>
      <w:rPr>
        <w:rFonts w:cs="B Nazanin"/>
      </w:rPr>
    </w:sdtEndPr>
    <w:sdtContent>
      <w:p w:rsidR="00581BA0" w:rsidRPr="00B4725C" w:rsidRDefault="00E33025" w:rsidP="00B4725C">
        <w:pPr>
          <w:pStyle w:val="Footer"/>
          <w:bidi/>
          <w:jc w:val="center"/>
          <w:rPr>
            <w:rFonts w:cs="B Nazanin"/>
          </w:rPr>
        </w:pPr>
        <w:r w:rsidRPr="00B4725C">
          <w:rPr>
            <w:rFonts w:cs="B Nazanin"/>
          </w:rPr>
          <w:fldChar w:fldCharType="begin"/>
        </w:r>
        <w:r w:rsidR="00581BA0" w:rsidRPr="00B4725C">
          <w:rPr>
            <w:rFonts w:cs="B Nazanin"/>
          </w:rPr>
          <w:instrText xml:space="preserve"> PAGE   \* MERGEFORMAT </w:instrText>
        </w:r>
        <w:r w:rsidRPr="00B4725C">
          <w:rPr>
            <w:rFonts w:cs="B Nazanin"/>
          </w:rPr>
          <w:fldChar w:fldCharType="separate"/>
        </w:r>
        <w:r w:rsidR="004C79A0">
          <w:rPr>
            <w:rFonts w:cs="B Nazanin"/>
            <w:noProof/>
            <w:rtl/>
          </w:rPr>
          <w:t>118</w:t>
        </w:r>
        <w:r w:rsidRPr="00B4725C">
          <w:rPr>
            <w:rFonts w:cs="B Nazanin"/>
          </w:rPr>
          <w:fldChar w:fldCharType="end"/>
        </w:r>
      </w:p>
    </w:sdtContent>
  </w:sdt>
  <w:p w:rsidR="00581BA0" w:rsidRDefault="00581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A5" w:rsidRDefault="003B02A5" w:rsidP="00DB7FD5">
      <w:pPr>
        <w:spacing w:after="0" w:line="240" w:lineRule="auto"/>
      </w:pPr>
      <w:r>
        <w:separator/>
      </w:r>
    </w:p>
  </w:footnote>
  <w:footnote w:type="continuationSeparator" w:id="0">
    <w:p w:rsidR="003B02A5" w:rsidRDefault="003B02A5" w:rsidP="00DB7FD5">
      <w:pPr>
        <w:spacing w:after="0" w:line="240" w:lineRule="auto"/>
      </w:pPr>
      <w:r>
        <w:continuationSeparator/>
      </w:r>
    </w:p>
  </w:footnote>
  <w:footnote w:id="1">
    <w:p w:rsidR="00581BA0" w:rsidRDefault="00581BA0" w:rsidP="001E7E1A">
      <w:pPr>
        <w:pStyle w:val="FootnoteText"/>
        <w:rPr>
          <w:rtl/>
          <w:lang w:bidi="fa-IR"/>
        </w:rPr>
      </w:pPr>
      <w:r w:rsidRPr="001E7E1A">
        <w:rPr>
          <w:rFonts w:hint="cs"/>
          <w:rtl/>
        </w:rPr>
        <w:t xml:space="preserve">1- مکرمی، علیمحمد، «شناسایی و اجرای آراء داوریهای خارجی در حقوق ایران»، </w:t>
      </w:r>
      <w:r w:rsidRPr="001E7E1A">
        <w:rPr>
          <w:rFonts w:hint="cs"/>
          <w:b/>
          <w:bCs/>
          <w:rtl/>
        </w:rPr>
        <w:t>فصلنامه دیدگاههای حقوقی قضایی</w:t>
      </w:r>
      <w:r w:rsidRPr="001E7E1A">
        <w:rPr>
          <w:rFonts w:hint="cs"/>
          <w:rtl/>
        </w:rPr>
        <w:t>، شماره 4،دانشگاه علوم قضایی و خدمات اداری، تهران 1375، ص145</w:t>
      </w:r>
      <w:r>
        <w:rPr>
          <w:rFonts w:hint="cs"/>
          <w:rtl/>
        </w:rPr>
        <w:t>.</w:t>
      </w:r>
    </w:p>
  </w:footnote>
  <w:footnote w:id="2">
    <w:p w:rsidR="00581BA0" w:rsidRDefault="00581BA0" w:rsidP="00635719">
      <w:pPr>
        <w:pStyle w:val="FootnoteText"/>
        <w:rPr>
          <w:rtl/>
          <w:lang w:bidi="fa-IR"/>
        </w:rPr>
      </w:pPr>
      <w:r w:rsidRPr="00D16238">
        <w:rPr>
          <w:rFonts w:hint="cs"/>
          <w:rtl/>
          <w:lang w:bidi="fa-IR"/>
        </w:rPr>
        <w:t>2-</w:t>
      </w:r>
      <w:r w:rsidRPr="00D16238">
        <w:rPr>
          <w:rFonts w:hint="cs"/>
          <w:rtl/>
        </w:rPr>
        <w:t xml:space="preserve"> نصیری، مرتضی، </w:t>
      </w:r>
      <w:r w:rsidRPr="00D16238">
        <w:rPr>
          <w:rFonts w:hint="cs"/>
          <w:b/>
          <w:bCs/>
          <w:rtl/>
        </w:rPr>
        <w:t>شناسایی و اجرای احکام محاکم خارجی</w:t>
      </w:r>
      <w:r w:rsidRPr="00D16238">
        <w:rPr>
          <w:rFonts w:hint="cs"/>
          <w:rtl/>
        </w:rPr>
        <w:t xml:space="preserve">، جزوه درسی دانشکده حقوق و علوم سیاسی، </w:t>
      </w:r>
      <w:r>
        <w:rPr>
          <w:rFonts w:hint="cs"/>
          <w:rtl/>
        </w:rPr>
        <w:t>نیمسال دوم سال تحصیلی 51-50، نقل از اجرای احکام داوری بازرگانی خارجی، نشر شهر دانش، 1381، ص93.</w:t>
      </w:r>
    </w:p>
  </w:footnote>
  <w:footnote w:id="3">
    <w:p w:rsidR="00581BA0" w:rsidRPr="00D16238" w:rsidRDefault="00581BA0" w:rsidP="001E7E1A">
      <w:pPr>
        <w:pStyle w:val="FootnoteText"/>
        <w:jc w:val="left"/>
        <w:rPr>
          <w:rFonts w:asciiTheme="minorHAnsi" w:hAnsiTheme="minorHAnsi"/>
          <w:rtl/>
          <w:lang w:bidi="fa-IR"/>
        </w:rPr>
      </w:pPr>
      <w:r w:rsidRPr="00D16238">
        <w:rPr>
          <w:rStyle w:val="FootnoteReference"/>
          <w:rFonts w:asciiTheme="minorHAnsi" w:hAnsiTheme="minorHAnsi"/>
        </w:rPr>
        <w:footnoteRef/>
      </w:r>
      <w:r w:rsidRPr="00D16238">
        <w:rPr>
          <w:rFonts w:asciiTheme="minorHAnsi" w:hAnsiTheme="minorHAnsi"/>
          <w:vertAlign w:val="superscript"/>
        </w:rPr>
        <w:t>-</w:t>
      </w:r>
      <w:r w:rsidRPr="00D16238">
        <w:rPr>
          <w:rFonts w:asciiTheme="minorHAnsi" w:hAnsiTheme="minorHAnsi"/>
        </w:rPr>
        <w:t xml:space="preserve"> </w:t>
      </w:r>
      <w:r>
        <w:rPr>
          <w:rFonts w:asciiTheme="minorHAnsi" w:hAnsiTheme="minorHAnsi"/>
          <w:lang w:bidi="fa-IR"/>
        </w:rPr>
        <w:t>Van den Berg</w:t>
      </w:r>
      <w:r w:rsidRPr="00D16238">
        <w:rPr>
          <w:rFonts w:asciiTheme="minorHAnsi" w:hAnsiTheme="minorHAnsi"/>
          <w:lang w:bidi="fa-IR"/>
        </w:rPr>
        <w:t xml:space="preserve">, Albert Jan, The New York Arbitration Convention of 1958, Kluwer Law and Taxation Publishers, </w:t>
      </w:r>
      <w:r w:rsidRPr="00D16238">
        <w:rPr>
          <w:rFonts w:asciiTheme="minorHAnsi" w:hAnsiTheme="minorHAnsi" w:cstheme="majorBidi"/>
        </w:rPr>
        <w:t>1981, p. 243.</w:t>
      </w:r>
    </w:p>
  </w:footnote>
  <w:footnote w:id="4">
    <w:p w:rsidR="00581BA0" w:rsidRPr="009C78CE" w:rsidRDefault="00581BA0" w:rsidP="001E7E1A">
      <w:pPr>
        <w:pStyle w:val="FootnoteText"/>
        <w:jc w:val="left"/>
        <w:rPr>
          <w:rFonts w:cstheme="majorBidi"/>
          <w:lang w:bidi="fa-IR"/>
        </w:rPr>
      </w:pPr>
      <w:r w:rsidRPr="00D16238">
        <w:rPr>
          <w:rStyle w:val="FootnoteReference"/>
          <w:rFonts w:asciiTheme="minorHAnsi" w:hAnsiTheme="minorHAnsi" w:cstheme="majorBidi"/>
        </w:rPr>
        <w:footnoteRef/>
      </w:r>
      <w:r w:rsidRPr="00D16238">
        <w:rPr>
          <w:rFonts w:asciiTheme="minorHAnsi" w:hAnsiTheme="minorHAnsi" w:cstheme="majorBidi"/>
          <w:vertAlign w:val="superscript"/>
        </w:rPr>
        <w:t>-</w:t>
      </w:r>
      <w:r w:rsidRPr="00D16238">
        <w:rPr>
          <w:rFonts w:asciiTheme="minorHAnsi" w:hAnsiTheme="minorHAnsi" w:cstheme="majorBidi"/>
        </w:rPr>
        <w:t xml:space="preserve"> Giardina, Andrea, The practical Application of Multilateral Conventions, 14th ICCA Congress, Paris, May, 1998, pp. 14-15.</w:t>
      </w:r>
    </w:p>
  </w:footnote>
  <w:footnote w:id="5">
    <w:p w:rsidR="00581BA0" w:rsidRPr="00D16238" w:rsidRDefault="00581BA0" w:rsidP="001E7E1A">
      <w:pPr>
        <w:pStyle w:val="FootnoteText"/>
        <w:rPr>
          <w:rtl/>
          <w:lang w:bidi="fa-IR"/>
        </w:rPr>
      </w:pPr>
      <w:r w:rsidRPr="00D16238">
        <w:rPr>
          <w:rFonts w:hint="cs"/>
          <w:rtl/>
          <w:lang w:bidi="fa-IR"/>
        </w:rPr>
        <w:t xml:space="preserve">5- جنیدی، لعیا، </w:t>
      </w:r>
      <w:r w:rsidRPr="00D16238">
        <w:rPr>
          <w:rFonts w:hint="cs"/>
          <w:b/>
          <w:bCs/>
          <w:rtl/>
          <w:lang w:bidi="fa-IR"/>
        </w:rPr>
        <w:t>اجرای احکام داوری بازرگانی خارجی</w:t>
      </w:r>
      <w:r w:rsidRPr="00D16238">
        <w:rPr>
          <w:rFonts w:hint="cs"/>
          <w:rtl/>
          <w:lang w:bidi="fa-IR"/>
        </w:rPr>
        <w:t xml:space="preserve">، نشر شهر دانش، 1381، تهران، ص97. </w:t>
      </w:r>
    </w:p>
  </w:footnote>
  <w:footnote w:id="6">
    <w:p w:rsidR="00581BA0" w:rsidRPr="00D16238" w:rsidRDefault="00581BA0" w:rsidP="001E7E1A">
      <w:pPr>
        <w:pStyle w:val="FootnoteText"/>
        <w:rPr>
          <w:rtl/>
          <w:lang w:bidi="fa-IR"/>
        </w:rPr>
      </w:pPr>
      <w:r w:rsidRPr="00D16238">
        <w:rPr>
          <w:rFonts w:hint="cs"/>
          <w:rtl/>
        </w:rPr>
        <w:t>همان.</w:t>
      </w:r>
      <w:r w:rsidRPr="00D16238">
        <w:t xml:space="preserve"> </w:t>
      </w:r>
      <w:r w:rsidRPr="00D16238">
        <w:rPr>
          <w:rFonts w:hint="cs"/>
          <w:rtl/>
        </w:rPr>
        <w:t>6-</w:t>
      </w:r>
    </w:p>
  </w:footnote>
  <w:footnote w:id="7">
    <w:p w:rsidR="00581BA0" w:rsidRPr="00D16238" w:rsidRDefault="00581BA0" w:rsidP="001C4F41">
      <w:pPr>
        <w:pStyle w:val="FootnoteText"/>
        <w:jc w:val="left"/>
        <w:rPr>
          <w:rFonts w:asciiTheme="minorHAnsi" w:hAnsiTheme="minorHAnsi"/>
          <w:lang w:bidi="fa-IR"/>
        </w:rPr>
      </w:pPr>
      <w:r w:rsidRPr="00D16238">
        <w:rPr>
          <w:rFonts w:asciiTheme="minorHAnsi" w:hAnsiTheme="minorHAnsi"/>
          <w:vertAlign w:val="superscript"/>
        </w:rPr>
        <w:t>7-</w:t>
      </w:r>
      <w:r w:rsidRPr="00D16238">
        <w:rPr>
          <w:rFonts w:asciiTheme="minorHAnsi" w:hAnsiTheme="minorHAnsi"/>
        </w:rPr>
        <w:t xml:space="preserve"> Wetter, J., “The Present of the International Court of Arbitartion of ICC; An Appraisal”, 1 American Review of International Arbitartion, 1990, p. 91.</w:t>
      </w:r>
    </w:p>
  </w:footnote>
  <w:footnote w:id="8">
    <w:p w:rsidR="00581BA0" w:rsidRDefault="00581BA0" w:rsidP="001C4F41">
      <w:pPr>
        <w:pStyle w:val="FootnoteText"/>
        <w:rPr>
          <w:rtl/>
          <w:lang w:bidi="fa-IR"/>
        </w:rPr>
      </w:pPr>
      <w:r w:rsidRPr="00D16238">
        <w:rPr>
          <w:rFonts w:hint="cs"/>
          <w:rtl/>
        </w:rPr>
        <w:t xml:space="preserve">8- جنیدی، لعیا، «کنوانسیون نیویورک و رژیم اجرایی آن»، </w:t>
      </w:r>
      <w:r w:rsidRPr="00D16238">
        <w:rPr>
          <w:rFonts w:hint="cs"/>
          <w:b/>
          <w:bCs/>
          <w:rtl/>
        </w:rPr>
        <w:t>مجله حقوق تطبیقی</w:t>
      </w:r>
      <w:r w:rsidRPr="00D16238">
        <w:rPr>
          <w:rFonts w:hint="cs"/>
          <w:rtl/>
        </w:rPr>
        <w:t>، دوره 2، شماره 1، بهار و تابستان 1390، ص 62</w:t>
      </w:r>
      <w:r>
        <w:rPr>
          <w:rFonts w:hint="cs"/>
          <w:rtl/>
        </w:rPr>
        <w:t>.</w:t>
      </w:r>
    </w:p>
  </w:footnote>
  <w:footnote w:id="9">
    <w:p w:rsidR="00581BA0" w:rsidRDefault="00581BA0" w:rsidP="001C4F41">
      <w:pPr>
        <w:pStyle w:val="FootnoteText"/>
        <w:rPr>
          <w:rtl/>
          <w:lang w:bidi="fa-IR"/>
        </w:rPr>
      </w:pPr>
      <w:r w:rsidRPr="00D16238">
        <w:rPr>
          <w:rFonts w:hint="cs"/>
          <w:rtl/>
        </w:rPr>
        <w:t>9- جنیدی</w:t>
      </w:r>
      <w:r w:rsidRPr="00D16238">
        <w:rPr>
          <w:rFonts w:hint="cs"/>
          <w:b/>
          <w:bCs/>
          <w:rtl/>
        </w:rPr>
        <w:t>،</w:t>
      </w:r>
      <w:r w:rsidRPr="00D16238">
        <w:rPr>
          <w:b/>
          <w:bCs/>
          <w:rtl/>
        </w:rPr>
        <w:t xml:space="preserve"> </w:t>
      </w:r>
      <w:r w:rsidRPr="00D16238">
        <w:rPr>
          <w:rFonts w:hint="cs"/>
          <w:rtl/>
        </w:rPr>
        <w:t>لعی</w:t>
      </w:r>
      <w:r w:rsidRPr="00D16238">
        <w:rPr>
          <w:rFonts w:hint="eastAsia"/>
          <w:rtl/>
        </w:rPr>
        <w:t>ا،</w:t>
      </w:r>
      <w:r w:rsidRPr="00D16238">
        <w:rPr>
          <w:rFonts w:hint="cs"/>
          <w:rtl/>
        </w:rPr>
        <w:t xml:space="preserve"> </w:t>
      </w:r>
      <w:r w:rsidRPr="00D16238">
        <w:rPr>
          <w:b/>
          <w:bCs/>
          <w:rtl/>
        </w:rPr>
        <w:t>اجرا</w:t>
      </w:r>
      <w:r w:rsidRPr="00D16238">
        <w:rPr>
          <w:rFonts w:hint="cs"/>
          <w:b/>
          <w:bCs/>
          <w:rtl/>
        </w:rPr>
        <w:t>ی</w:t>
      </w:r>
      <w:r w:rsidRPr="00D16238">
        <w:rPr>
          <w:b/>
          <w:bCs/>
          <w:rtl/>
        </w:rPr>
        <w:t xml:space="preserve"> احکام داور</w:t>
      </w:r>
      <w:r w:rsidRPr="00D16238">
        <w:rPr>
          <w:rFonts w:hint="cs"/>
          <w:b/>
          <w:bCs/>
          <w:rtl/>
        </w:rPr>
        <w:t>ی</w:t>
      </w:r>
      <w:r w:rsidRPr="00D16238">
        <w:rPr>
          <w:b/>
          <w:bCs/>
          <w:rtl/>
        </w:rPr>
        <w:t xml:space="preserve"> بازرگان</w:t>
      </w:r>
      <w:r w:rsidRPr="00D16238">
        <w:rPr>
          <w:rFonts w:hint="cs"/>
          <w:b/>
          <w:bCs/>
          <w:rtl/>
        </w:rPr>
        <w:t>ی</w:t>
      </w:r>
      <w:r w:rsidRPr="00D16238">
        <w:rPr>
          <w:b/>
          <w:bCs/>
          <w:rtl/>
        </w:rPr>
        <w:t xml:space="preserve"> خارج</w:t>
      </w:r>
      <w:r w:rsidRPr="00D16238">
        <w:rPr>
          <w:rFonts w:hint="cs"/>
          <w:b/>
          <w:bCs/>
          <w:rtl/>
        </w:rPr>
        <w:t>ی</w:t>
      </w:r>
      <w:r w:rsidRPr="00D16238">
        <w:rPr>
          <w:rFonts w:hint="eastAsia"/>
          <w:rtl/>
        </w:rPr>
        <w:t>،</w:t>
      </w:r>
      <w:r w:rsidRPr="00D16238">
        <w:rPr>
          <w:rtl/>
        </w:rPr>
        <w:t xml:space="preserve"> نشر شهر دانش، 1381، ص</w:t>
      </w:r>
      <w:r w:rsidRPr="00D16238">
        <w:rPr>
          <w:rFonts w:hint="cs"/>
          <w:rtl/>
        </w:rPr>
        <w:t xml:space="preserve"> 163</w:t>
      </w:r>
      <w:r w:rsidRPr="00F4490E">
        <w:rPr>
          <w:rtl/>
        </w:rPr>
        <w:t>.</w:t>
      </w:r>
    </w:p>
  </w:footnote>
  <w:footnote w:id="10">
    <w:p w:rsidR="00581BA0" w:rsidRPr="00D16238" w:rsidRDefault="00581BA0" w:rsidP="001C4F41">
      <w:pPr>
        <w:pStyle w:val="FootnoteText"/>
        <w:jc w:val="both"/>
        <w:rPr>
          <w:rFonts w:asciiTheme="minorHAnsi" w:hAnsiTheme="minorHAnsi"/>
          <w:lang w:bidi="fa-IR"/>
        </w:rPr>
      </w:pPr>
      <w:r w:rsidRPr="00D16238">
        <w:rPr>
          <w:rStyle w:val="FootnoteReference"/>
          <w:rFonts w:asciiTheme="minorHAnsi" w:hAnsiTheme="minorHAnsi"/>
        </w:rPr>
        <w:footnoteRef/>
      </w:r>
      <w:r w:rsidRPr="00D16238">
        <w:rPr>
          <w:rFonts w:asciiTheme="minorHAnsi" w:hAnsiTheme="minorHAnsi"/>
          <w:vertAlign w:val="superscript"/>
        </w:rPr>
        <w:t>-</w:t>
      </w:r>
      <w:r w:rsidRPr="00D16238">
        <w:rPr>
          <w:rFonts w:asciiTheme="minorHAnsi" w:hAnsiTheme="minorHAnsi"/>
        </w:rPr>
        <w:t xml:space="preserve"> Van den Berg</w:t>
      </w:r>
      <w:r w:rsidRPr="00D16238">
        <w:rPr>
          <w:rFonts w:asciiTheme="minorHAnsi" w:hAnsiTheme="minorHAnsi"/>
          <w:lang w:bidi="fa-IR"/>
        </w:rPr>
        <w:t>,</w:t>
      </w:r>
      <w:r w:rsidRPr="00D16238">
        <w:rPr>
          <w:rFonts w:asciiTheme="minorHAnsi" w:hAnsiTheme="minorHAnsi"/>
        </w:rPr>
        <w:t xml:space="preserve"> </w:t>
      </w:r>
      <w:r w:rsidRPr="00D16238">
        <w:rPr>
          <w:rFonts w:asciiTheme="minorHAnsi" w:hAnsiTheme="minorHAnsi"/>
          <w:lang w:bidi="fa-IR"/>
        </w:rPr>
        <w:t>Albert Jan,</w:t>
      </w:r>
      <w:r w:rsidRPr="00D16238">
        <w:rPr>
          <w:rFonts w:asciiTheme="minorHAnsi" w:hAnsiTheme="minorHAnsi"/>
        </w:rPr>
        <w:t xml:space="preserve"> op.cit., Annex C.</w:t>
      </w:r>
    </w:p>
  </w:footnote>
  <w:footnote w:id="11">
    <w:p w:rsidR="00581BA0" w:rsidRDefault="00581BA0" w:rsidP="001C4F41">
      <w:pPr>
        <w:pStyle w:val="FootnoteText"/>
        <w:jc w:val="left"/>
        <w:rPr>
          <w:rtl/>
          <w:lang w:bidi="fa-IR"/>
        </w:rPr>
      </w:pPr>
      <w:r w:rsidRPr="00D16238">
        <w:rPr>
          <w:rStyle w:val="FootnoteReference"/>
          <w:rFonts w:asciiTheme="minorHAnsi" w:hAnsiTheme="minorHAnsi"/>
        </w:rPr>
        <w:footnoteRef/>
      </w:r>
      <w:r w:rsidRPr="00D16238">
        <w:rPr>
          <w:rFonts w:asciiTheme="minorHAnsi" w:hAnsiTheme="minorHAnsi"/>
        </w:rPr>
        <w:t>- Ibid.</w:t>
      </w:r>
    </w:p>
  </w:footnote>
  <w:footnote w:id="12">
    <w:p w:rsidR="00581BA0" w:rsidRPr="00D16238" w:rsidRDefault="00581BA0" w:rsidP="001C4F41">
      <w:pPr>
        <w:pStyle w:val="FootnoteText"/>
        <w:jc w:val="left"/>
        <w:rPr>
          <w:rFonts w:asciiTheme="minorHAnsi" w:hAnsiTheme="minorHAnsi"/>
          <w:rtl/>
          <w:lang w:bidi="fa-IR"/>
        </w:rPr>
      </w:pPr>
      <w:r w:rsidRPr="00D16238">
        <w:rPr>
          <w:rStyle w:val="FootnoteReference"/>
          <w:rFonts w:asciiTheme="minorHAnsi" w:hAnsiTheme="minorHAnsi"/>
        </w:rPr>
        <w:footnoteRef/>
      </w:r>
      <w:r w:rsidRPr="00D16238">
        <w:rPr>
          <w:rFonts w:asciiTheme="minorHAnsi" w:hAnsiTheme="minorHAnsi"/>
        </w:rPr>
        <w:t>- Court of Appeal of Tokio (2</w:t>
      </w:r>
      <w:r w:rsidRPr="00D16238">
        <w:rPr>
          <w:rFonts w:asciiTheme="minorHAnsi" w:hAnsiTheme="minorHAnsi"/>
          <w:vertAlign w:val="superscript"/>
        </w:rPr>
        <w:t>nd</w:t>
      </w:r>
      <w:r w:rsidRPr="00D16238">
        <w:rPr>
          <w:rFonts w:asciiTheme="minorHAnsi" w:hAnsiTheme="minorHAnsi"/>
        </w:rPr>
        <w:t xml:space="preserve"> Civil Section) March 14, 1963, P.Iroshi P.Ishi v. Compania di P.Avigazione e Commercio, I Yearbook</w:t>
      </w:r>
      <w:r>
        <w:rPr>
          <w:rFonts w:asciiTheme="minorHAnsi" w:hAnsiTheme="minorHAnsi"/>
        </w:rPr>
        <w:t>, 1976, p.194.</w:t>
      </w:r>
    </w:p>
  </w:footnote>
  <w:footnote w:id="13">
    <w:p w:rsidR="00581BA0" w:rsidRDefault="00581BA0" w:rsidP="001C4F41">
      <w:pPr>
        <w:pStyle w:val="FootnoteText"/>
        <w:rPr>
          <w:rtl/>
          <w:lang w:bidi="fa-IR"/>
        </w:rPr>
      </w:pPr>
      <w:r w:rsidRPr="00D16238">
        <w:rPr>
          <w:rFonts w:hint="cs"/>
          <w:rtl/>
        </w:rPr>
        <w:t xml:space="preserve">13- </w:t>
      </w:r>
      <w:r w:rsidRPr="00D16238">
        <w:rPr>
          <w:rFonts w:hint="cs"/>
          <w:rtl/>
          <w:lang w:bidi="fa-IR"/>
        </w:rPr>
        <w:t>جنیدی،</w:t>
      </w:r>
      <w:r w:rsidRPr="00D16238">
        <w:rPr>
          <w:rtl/>
        </w:rPr>
        <w:t xml:space="preserve"> </w:t>
      </w:r>
      <w:r w:rsidRPr="00D16238">
        <w:rPr>
          <w:rFonts w:hint="cs"/>
          <w:rtl/>
          <w:lang w:bidi="fa-IR"/>
        </w:rPr>
        <w:t xml:space="preserve">لعیا، </w:t>
      </w:r>
      <w:r w:rsidRPr="00D16238">
        <w:rPr>
          <w:rFonts w:hint="cs"/>
          <w:rtl/>
        </w:rPr>
        <w:t>«کنوانسیون نیویورک و رژیم اجرایی آن»،</w:t>
      </w:r>
      <w:r w:rsidRPr="00D16238">
        <w:rPr>
          <w:rFonts w:hint="cs"/>
          <w:b/>
          <w:bCs/>
          <w:rtl/>
        </w:rPr>
        <w:t xml:space="preserve"> مجله حقوق تطبیقی</w:t>
      </w:r>
      <w:r w:rsidRPr="00D16238">
        <w:rPr>
          <w:rFonts w:hint="cs"/>
          <w:rtl/>
        </w:rPr>
        <w:t>، دوره 2، شماره 1، بهار و تابستان 1390، ص 63</w:t>
      </w:r>
      <w:r>
        <w:rPr>
          <w:rFonts w:hint="cs"/>
          <w:rtl/>
        </w:rPr>
        <w:t>.</w:t>
      </w:r>
    </w:p>
  </w:footnote>
  <w:footnote w:id="14">
    <w:p w:rsidR="00581BA0" w:rsidRPr="00D16238" w:rsidRDefault="00581BA0" w:rsidP="001C4F41">
      <w:pPr>
        <w:pStyle w:val="FootnoteText"/>
        <w:jc w:val="left"/>
        <w:rPr>
          <w:rFonts w:asciiTheme="minorHAnsi" w:hAnsiTheme="minorHAnsi"/>
          <w:lang w:bidi="fa-IR"/>
        </w:rPr>
      </w:pPr>
      <w:r w:rsidRPr="00D16238">
        <w:rPr>
          <w:rStyle w:val="FootnoteReference"/>
          <w:rFonts w:asciiTheme="minorHAnsi" w:hAnsiTheme="minorHAnsi"/>
        </w:rPr>
        <w:footnoteRef/>
      </w:r>
      <w:r w:rsidRPr="00D16238">
        <w:rPr>
          <w:rFonts w:asciiTheme="minorHAnsi" w:hAnsiTheme="minorHAnsi"/>
        </w:rPr>
        <w:t>- Opposition.</w:t>
      </w:r>
    </w:p>
  </w:footnote>
  <w:footnote w:id="15">
    <w:p w:rsidR="00581BA0" w:rsidRPr="00D16238" w:rsidRDefault="00581BA0" w:rsidP="001C4F41">
      <w:pPr>
        <w:pStyle w:val="FootnoteText"/>
        <w:jc w:val="left"/>
        <w:rPr>
          <w:rFonts w:asciiTheme="minorHAnsi" w:hAnsiTheme="minorHAnsi"/>
          <w:lang w:bidi="fa-IR"/>
        </w:rPr>
      </w:pPr>
      <w:r w:rsidRPr="00D16238">
        <w:rPr>
          <w:rStyle w:val="FootnoteReference"/>
          <w:rFonts w:asciiTheme="minorHAnsi" w:hAnsiTheme="minorHAnsi"/>
        </w:rPr>
        <w:footnoteRef/>
      </w:r>
      <w:r w:rsidRPr="00D16238">
        <w:rPr>
          <w:rFonts w:asciiTheme="minorHAnsi" w:hAnsiTheme="minorHAnsi"/>
        </w:rPr>
        <w:t>- Appeal.</w:t>
      </w:r>
    </w:p>
  </w:footnote>
  <w:footnote w:id="16">
    <w:p w:rsidR="00581BA0" w:rsidRPr="00D16238" w:rsidRDefault="00581BA0" w:rsidP="001C4F41">
      <w:pPr>
        <w:pStyle w:val="FootnoteText"/>
        <w:jc w:val="left"/>
        <w:rPr>
          <w:rFonts w:asciiTheme="minorHAnsi" w:hAnsiTheme="minorHAnsi"/>
          <w:lang w:bidi="fa-IR"/>
        </w:rPr>
      </w:pPr>
      <w:r w:rsidRPr="00D16238">
        <w:rPr>
          <w:rStyle w:val="FootnoteReference"/>
          <w:rFonts w:asciiTheme="minorHAnsi" w:hAnsiTheme="minorHAnsi"/>
        </w:rPr>
        <w:footnoteRef/>
      </w:r>
      <w:r w:rsidRPr="00D16238">
        <w:rPr>
          <w:rFonts w:asciiTheme="minorHAnsi" w:hAnsiTheme="minorHAnsi"/>
        </w:rPr>
        <w:t>-</w:t>
      </w:r>
      <w:r w:rsidRPr="00D16238">
        <w:rPr>
          <w:rFonts w:asciiTheme="minorHAnsi" w:hAnsiTheme="minorHAnsi"/>
          <w:rtl/>
        </w:rPr>
        <w:t xml:space="preserve"> </w:t>
      </w:r>
      <w:r w:rsidRPr="00D16238">
        <w:rPr>
          <w:rFonts w:asciiTheme="minorHAnsi" w:hAnsiTheme="minorHAnsi"/>
        </w:rPr>
        <w:t>Meyer, P., L’execution des Sentences Arbitrales Dans les Pays de Droit Romaniste, Publication  CCI N 440/6, 1992, p. 60.</w:t>
      </w:r>
    </w:p>
  </w:footnote>
  <w:footnote w:id="17">
    <w:p w:rsidR="00581BA0" w:rsidRPr="00D16238" w:rsidRDefault="00581BA0" w:rsidP="00C91664">
      <w:pPr>
        <w:pStyle w:val="FootnoteText"/>
        <w:jc w:val="left"/>
        <w:rPr>
          <w:rFonts w:asciiTheme="minorHAnsi" w:hAnsiTheme="minorHAnsi"/>
          <w:lang w:bidi="fa-IR"/>
        </w:rPr>
      </w:pPr>
      <w:r w:rsidRPr="00D16238">
        <w:rPr>
          <w:rStyle w:val="FootnoteReference"/>
          <w:rFonts w:asciiTheme="minorHAnsi" w:hAnsiTheme="minorHAnsi"/>
        </w:rPr>
        <w:footnoteRef/>
      </w:r>
      <w:r w:rsidRPr="00D16238">
        <w:rPr>
          <w:rFonts w:asciiTheme="minorHAnsi" w:hAnsiTheme="minorHAnsi"/>
        </w:rPr>
        <w:t>. Rubino-Sammartano, M., International Arbitration Law, Kluwer, 1990, p. 485.</w:t>
      </w:r>
    </w:p>
  </w:footnote>
  <w:footnote w:id="18">
    <w:p w:rsidR="00581BA0" w:rsidRPr="00D16238" w:rsidRDefault="00581BA0" w:rsidP="00C91664">
      <w:pPr>
        <w:pStyle w:val="FootnoteText"/>
        <w:jc w:val="left"/>
        <w:rPr>
          <w:rFonts w:asciiTheme="minorHAnsi" w:hAnsiTheme="minorHAnsi"/>
          <w:lang w:bidi="fa-IR"/>
        </w:rPr>
      </w:pPr>
      <w:r w:rsidRPr="00D16238">
        <w:rPr>
          <w:rStyle w:val="FootnoteReference"/>
          <w:rFonts w:asciiTheme="minorHAnsi" w:hAnsiTheme="minorHAnsi"/>
        </w:rPr>
        <w:footnoteRef/>
      </w:r>
      <w:r>
        <w:rPr>
          <w:rFonts w:asciiTheme="minorHAnsi" w:hAnsiTheme="minorHAnsi"/>
        </w:rPr>
        <w:t>-</w:t>
      </w:r>
      <w:r w:rsidRPr="00D16238">
        <w:rPr>
          <w:rFonts w:asciiTheme="minorHAnsi" w:hAnsiTheme="minorHAnsi"/>
        </w:rPr>
        <w:t xml:space="preserve"> Ibid.</w:t>
      </w:r>
    </w:p>
  </w:footnote>
  <w:footnote w:id="19">
    <w:p w:rsidR="00581BA0" w:rsidRPr="00AE2A2E" w:rsidRDefault="00581BA0" w:rsidP="00C91664">
      <w:pPr>
        <w:pStyle w:val="FootnoteText"/>
        <w:jc w:val="left"/>
        <w:rPr>
          <w:rFonts w:asciiTheme="minorHAnsi" w:hAnsiTheme="minorHAnsi"/>
          <w:lang w:bidi="fa-IR"/>
        </w:rPr>
      </w:pPr>
      <w:r w:rsidRPr="00AE2A2E">
        <w:rPr>
          <w:rStyle w:val="FootnoteReference"/>
          <w:rFonts w:asciiTheme="minorHAnsi" w:hAnsiTheme="minorHAnsi"/>
        </w:rPr>
        <w:footnoteRef/>
      </w:r>
      <w:r w:rsidRPr="00AE2A2E">
        <w:rPr>
          <w:rFonts w:asciiTheme="minorHAnsi" w:hAnsiTheme="minorHAnsi"/>
        </w:rPr>
        <w:t>. Mirabelli, G., The Application of the New York Convention by the Italian Courts, IV Yearbook, 1979, p. 370.</w:t>
      </w:r>
    </w:p>
  </w:footnote>
  <w:footnote w:id="20">
    <w:p w:rsidR="00581BA0" w:rsidRPr="00AE2A2E" w:rsidRDefault="00581BA0" w:rsidP="00C91664">
      <w:pPr>
        <w:pStyle w:val="FootnoteText"/>
        <w:jc w:val="left"/>
        <w:rPr>
          <w:rFonts w:asciiTheme="minorHAnsi" w:hAnsiTheme="minorHAnsi"/>
          <w:lang w:bidi="fa-IR"/>
        </w:rPr>
      </w:pPr>
      <w:r w:rsidRPr="00AE2A2E">
        <w:rPr>
          <w:rStyle w:val="FootnoteReference"/>
          <w:rFonts w:asciiTheme="minorHAnsi" w:hAnsiTheme="minorHAnsi"/>
        </w:rPr>
        <w:footnoteRef/>
      </w:r>
      <w:r w:rsidRPr="00AE2A2E">
        <w:rPr>
          <w:rFonts w:asciiTheme="minorHAnsi" w:hAnsiTheme="minorHAnsi"/>
        </w:rPr>
        <w:t>. Rubino-Sammartano, M., op.cit., pp. 485-486.</w:t>
      </w:r>
    </w:p>
  </w:footnote>
  <w:footnote w:id="21">
    <w:p w:rsidR="00581BA0" w:rsidRPr="00AE2A2E" w:rsidRDefault="00581BA0" w:rsidP="00C91664">
      <w:pPr>
        <w:pStyle w:val="FootnoteText"/>
        <w:jc w:val="left"/>
        <w:rPr>
          <w:rFonts w:asciiTheme="minorHAnsi" w:hAnsiTheme="minorHAnsi"/>
          <w:lang w:bidi="fa-IR"/>
        </w:rPr>
      </w:pPr>
      <w:r w:rsidRPr="00AE2A2E">
        <w:rPr>
          <w:rStyle w:val="FootnoteReference"/>
          <w:rFonts w:asciiTheme="minorHAnsi" w:hAnsiTheme="minorHAnsi"/>
        </w:rPr>
        <w:footnoteRef/>
      </w:r>
      <w:r w:rsidRPr="00AE2A2E">
        <w:rPr>
          <w:rFonts w:asciiTheme="minorHAnsi" w:hAnsiTheme="minorHAnsi"/>
        </w:rPr>
        <w:t>. La Sentence non Francaise.</w:t>
      </w:r>
    </w:p>
  </w:footnote>
  <w:footnote w:id="22">
    <w:p w:rsidR="00581BA0" w:rsidRPr="00AE2A2E" w:rsidRDefault="00581BA0" w:rsidP="00C91664">
      <w:pPr>
        <w:pStyle w:val="FootnoteText"/>
        <w:bidi/>
        <w:jc w:val="left"/>
        <w:rPr>
          <w:rtl/>
          <w:lang w:bidi="fa-IR"/>
        </w:rPr>
      </w:pPr>
      <w:r w:rsidRPr="00AE2A2E">
        <w:rPr>
          <w:rFonts w:hint="cs"/>
          <w:rtl/>
        </w:rPr>
        <w:t>22- جنیدی، لعیا،</w:t>
      </w:r>
      <w:r w:rsidRPr="00AE2A2E">
        <w:rPr>
          <w:rtl/>
        </w:rPr>
        <w:t xml:space="preserve"> </w:t>
      </w:r>
      <w:r w:rsidRPr="00AE2A2E">
        <w:rPr>
          <w:b/>
          <w:bCs/>
          <w:rtl/>
        </w:rPr>
        <w:t>اجرا</w:t>
      </w:r>
      <w:r w:rsidRPr="00AE2A2E">
        <w:rPr>
          <w:rFonts w:hint="cs"/>
          <w:b/>
          <w:bCs/>
          <w:rtl/>
        </w:rPr>
        <w:t>ی</w:t>
      </w:r>
      <w:r w:rsidRPr="00AE2A2E">
        <w:rPr>
          <w:b/>
          <w:bCs/>
          <w:rtl/>
        </w:rPr>
        <w:t xml:space="preserve"> احکام داور</w:t>
      </w:r>
      <w:r w:rsidRPr="00AE2A2E">
        <w:rPr>
          <w:rFonts w:hint="cs"/>
          <w:b/>
          <w:bCs/>
          <w:rtl/>
        </w:rPr>
        <w:t>ی</w:t>
      </w:r>
      <w:r w:rsidRPr="00AE2A2E">
        <w:rPr>
          <w:b/>
          <w:bCs/>
          <w:rtl/>
        </w:rPr>
        <w:t xml:space="preserve"> بازرگان</w:t>
      </w:r>
      <w:r w:rsidRPr="00AE2A2E">
        <w:rPr>
          <w:rFonts w:hint="cs"/>
          <w:b/>
          <w:bCs/>
          <w:rtl/>
        </w:rPr>
        <w:t>ی</w:t>
      </w:r>
      <w:r w:rsidRPr="00AE2A2E">
        <w:rPr>
          <w:b/>
          <w:bCs/>
          <w:rtl/>
        </w:rPr>
        <w:t xml:space="preserve"> خارج</w:t>
      </w:r>
      <w:r w:rsidRPr="00AE2A2E">
        <w:rPr>
          <w:rFonts w:hint="cs"/>
          <w:b/>
          <w:bCs/>
          <w:rtl/>
        </w:rPr>
        <w:t>ی</w:t>
      </w:r>
      <w:r w:rsidRPr="00AE2A2E">
        <w:rPr>
          <w:rFonts w:hint="eastAsia"/>
          <w:rtl/>
        </w:rPr>
        <w:t>،</w:t>
      </w:r>
      <w:r w:rsidRPr="00AE2A2E">
        <w:rPr>
          <w:rtl/>
        </w:rPr>
        <w:t xml:space="preserve"> ن</w:t>
      </w:r>
      <w:r w:rsidRPr="00AE2A2E">
        <w:rPr>
          <w:rFonts w:hint="cs"/>
          <w:rtl/>
        </w:rPr>
        <w:t>ش</w:t>
      </w:r>
      <w:r w:rsidRPr="00AE2A2E">
        <w:rPr>
          <w:rtl/>
        </w:rPr>
        <w:t xml:space="preserve">ر شهر دانش، 1381، ص </w:t>
      </w:r>
      <w:r w:rsidRPr="00AE2A2E">
        <w:rPr>
          <w:rFonts w:hint="cs"/>
          <w:rtl/>
        </w:rPr>
        <w:t>221.</w:t>
      </w:r>
    </w:p>
  </w:footnote>
  <w:footnote w:id="23">
    <w:p w:rsidR="00581BA0" w:rsidRPr="00AE2A2E" w:rsidRDefault="00581BA0" w:rsidP="00C91664">
      <w:pPr>
        <w:pStyle w:val="FootnoteText"/>
        <w:bidi/>
        <w:jc w:val="left"/>
        <w:rPr>
          <w:rtl/>
          <w:lang w:bidi="fa-IR"/>
        </w:rPr>
      </w:pPr>
      <w:r w:rsidRPr="00AE2A2E">
        <w:rPr>
          <w:rFonts w:hint="cs"/>
          <w:rtl/>
        </w:rPr>
        <w:t>23- همان.</w:t>
      </w:r>
    </w:p>
  </w:footnote>
  <w:footnote w:id="24">
    <w:p w:rsidR="00581BA0" w:rsidRPr="00AE2A2E" w:rsidRDefault="00581BA0" w:rsidP="00C91664">
      <w:pPr>
        <w:pStyle w:val="FootnoteText"/>
        <w:jc w:val="both"/>
        <w:rPr>
          <w:rFonts w:asciiTheme="minorHAnsi" w:hAnsiTheme="minorHAnsi"/>
          <w:lang w:bidi="fa-IR"/>
        </w:rPr>
      </w:pPr>
      <w:r w:rsidRPr="00AE2A2E">
        <w:rPr>
          <w:rStyle w:val="FootnoteReference"/>
          <w:rFonts w:asciiTheme="minorHAnsi" w:hAnsiTheme="minorHAnsi"/>
        </w:rPr>
        <w:footnoteRef/>
      </w:r>
      <w:r w:rsidRPr="00AE2A2E">
        <w:rPr>
          <w:rFonts w:asciiTheme="minorHAnsi" w:hAnsiTheme="minorHAnsi"/>
          <w:rtl/>
        </w:rPr>
        <w:t>-</w:t>
      </w:r>
      <w:r w:rsidRPr="00AE2A2E">
        <w:rPr>
          <w:rFonts w:asciiTheme="minorHAnsi" w:hAnsiTheme="minorHAnsi"/>
        </w:rPr>
        <w:t xml:space="preserve"> Rubino-Sammartano, M., op. cit., p. 487.</w:t>
      </w:r>
    </w:p>
  </w:footnote>
  <w:footnote w:id="25">
    <w:p w:rsidR="00581BA0" w:rsidRPr="00AE2A2E" w:rsidRDefault="00581BA0" w:rsidP="00C34789">
      <w:pPr>
        <w:pStyle w:val="FootnoteText"/>
        <w:jc w:val="left"/>
        <w:rPr>
          <w:rFonts w:asciiTheme="minorHAnsi" w:hAnsiTheme="minorHAnsi"/>
          <w:lang w:bidi="fa-IR"/>
        </w:rPr>
      </w:pPr>
      <w:r w:rsidRPr="00AE2A2E">
        <w:rPr>
          <w:rStyle w:val="FootnoteReference"/>
          <w:rFonts w:asciiTheme="minorHAnsi" w:hAnsiTheme="minorHAnsi"/>
        </w:rPr>
        <w:footnoteRef/>
      </w:r>
      <w:r w:rsidRPr="00AE2A2E">
        <w:rPr>
          <w:rFonts w:asciiTheme="minorHAnsi" w:hAnsiTheme="minorHAnsi"/>
          <w:rtl/>
        </w:rPr>
        <w:t>-</w:t>
      </w:r>
      <w:r w:rsidRPr="00AE2A2E">
        <w:rPr>
          <w:rFonts w:asciiTheme="minorHAnsi" w:hAnsiTheme="minorHAnsi"/>
        </w:rPr>
        <w:t xml:space="preserve"> Leave to Enforce.</w:t>
      </w:r>
    </w:p>
  </w:footnote>
  <w:footnote w:id="26">
    <w:p w:rsidR="00581BA0" w:rsidRPr="00AE2A2E" w:rsidRDefault="00581BA0" w:rsidP="00C34789">
      <w:pPr>
        <w:pStyle w:val="FootnoteText"/>
        <w:jc w:val="left"/>
        <w:rPr>
          <w:rFonts w:asciiTheme="minorHAnsi" w:hAnsiTheme="minorHAnsi"/>
        </w:rPr>
      </w:pPr>
      <w:r w:rsidRPr="00AE2A2E">
        <w:rPr>
          <w:rStyle w:val="FootnoteReference"/>
          <w:rFonts w:asciiTheme="minorHAnsi" w:hAnsiTheme="minorHAnsi"/>
        </w:rPr>
        <w:footnoteRef/>
      </w:r>
      <w:r w:rsidRPr="00AE2A2E">
        <w:rPr>
          <w:rFonts w:asciiTheme="minorHAnsi" w:hAnsiTheme="minorHAnsi"/>
          <w:rtl/>
        </w:rPr>
        <w:t>-</w:t>
      </w:r>
      <w:r w:rsidRPr="00AE2A2E">
        <w:rPr>
          <w:rFonts w:asciiTheme="minorHAnsi" w:hAnsiTheme="minorHAnsi"/>
        </w:rPr>
        <w:t xml:space="preserve"> </w:t>
      </w:r>
      <w:r w:rsidRPr="00AE2A2E">
        <w:rPr>
          <w:rFonts w:asciiTheme="minorHAnsi" w:hAnsiTheme="minorHAnsi"/>
          <w:i/>
          <w:iCs/>
        </w:rPr>
        <w:t xml:space="preserve">E.g. </w:t>
      </w:r>
      <w:r w:rsidRPr="00AE2A2E">
        <w:rPr>
          <w:rFonts w:asciiTheme="minorHAnsi" w:hAnsiTheme="minorHAnsi"/>
        </w:rPr>
        <w:t>Merrifield</w:t>
      </w:r>
      <w:r w:rsidRPr="00AE2A2E">
        <w:rPr>
          <w:rFonts w:asciiTheme="minorHAnsi" w:hAnsiTheme="minorHAnsi"/>
          <w:i/>
          <w:iCs/>
        </w:rPr>
        <w:t xml:space="preserve"> Co. v. Liverpool Cotton Association</w:t>
      </w:r>
      <w:r w:rsidRPr="00AE2A2E">
        <w:rPr>
          <w:rFonts w:asciiTheme="minorHAnsi" w:hAnsiTheme="minorHAnsi"/>
        </w:rPr>
        <w:t>, 105 L.T., 1911, p. 97.</w:t>
      </w:r>
    </w:p>
  </w:footnote>
  <w:footnote w:id="27">
    <w:p w:rsidR="00581BA0" w:rsidRPr="00AE2A2E" w:rsidRDefault="00581BA0" w:rsidP="00C34789">
      <w:pPr>
        <w:pStyle w:val="FootnoteText"/>
        <w:jc w:val="left"/>
        <w:rPr>
          <w:rFonts w:asciiTheme="minorHAnsi" w:hAnsiTheme="minorHAnsi"/>
          <w:lang w:bidi="fa-IR"/>
        </w:rPr>
      </w:pPr>
      <w:r w:rsidRPr="00AE2A2E">
        <w:rPr>
          <w:rStyle w:val="FootnoteReference"/>
          <w:rFonts w:asciiTheme="minorHAnsi" w:hAnsiTheme="minorHAnsi"/>
        </w:rPr>
        <w:footnoteRef/>
      </w:r>
      <w:r w:rsidRPr="00AE2A2E">
        <w:rPr>
          <w:rFonts w:asciiTheme="minorHAnsi" w:hAnsiTheme="minorHAnsi"/>
          <w:rtl/>
        </w:rPr>
        <w:t>-</w:t>
      </w:r>
      <w:r w:rsidRPr="00AE2A2E">
        <w:rPr>
          <w:rFonts w:asciiTheme="minorHAnsi" w:hAnsiTheme="minorHAnsi"/>
        </w:rPr>
        <w:t xml:space="preserve"> </w:t>
      </w:r>
      <w:r w:rsidRPr="00AE2A2E">
        <w:rPr>
          <w:rFonts w:asciiTheme="minorHAnsi" w:hAnsiTheme="minorHAnsi"/>
          <w:i/>
          <w:iCs/>
        </w:rPr>
        <w:t>Norsk Atlas</w:t>
      </w:r>
      <w:r w:rsidRPr="00AE2A2E">
        <w:rPr>
          <w:rFonts w:asciiTheme="minorHAnsi" w:hAnsiTheme="minorHAnsi"/>
        </w:rPr>
        <w:t xml:space="preserve"> </w:t>
      </w:r>
      <w:r w:rsidRPr="00AE2A2E">
        <w:rPr>
          <w:rFonts w:asciiTheme="minorHAnsi" w:hAnsiTheme="minorHAnsi"/>
          <w:i/>
          <w:iCs/>
        </w:rPr>
        <w:t>v.</w:t>
      </w:r>
      <w:r w:rsidRPr="00AE2A2E">
        <w:rPr>
          <w:rFonts w:asciiTheme="minorHAnsi" w:hAnsiTheme="minorHAnsi"/>
        </w:rPr>
        <w:t xml:space="preserve"> </w:t>
      </w:r>
      <w:r w:rsidRPr="00AE2A2E">
        <w:rPr>
          <w:rFonts w:asciiTheme="minorHAnsi" w:hAnsiTheme="minorHAnsi"/>
          <w:i/>
          <w:iCs/>
        </w:rPr>
        <w:t>London Assurance Co</w:t>
      </w:r>
      <w:r w:rsidRPr="00AE2A2E">
        <w:rPr>
          <w:rFonts w:asciiTheme="minorHAnsi" w:hAnsiTheme="minorHAnsi"/>
        </w:rPr>
        <w:t>., 2 Lil.L. Rep., 1927, p. 104.</w:t>
      </w:r>
    </w:p>
  </w:footnote>
  <w:footnote w:id="28">
    <w:p w:rsidR="00581BA0" w:rsidRPr="00C34789" w:rsidRDefault="00581BA0" w:rsidP="00C34789">
      <w:pPr>
        <w:pStyle w:val="FootnoteText"/>
        <w:jc w:val="left"/>
        <w:rPr>
          <w:rFonts w:asciiTheme="minorHAnsi" w:hAnsiTheme="minorHAnsi"/>
          <w:i/>
          <w:iCs/>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w:t>
      </w:r>
      <w:r w:rsidRPr="00C34789">
        <w:rPr>
          <w:rFonts w:asciiTheme="minorHAnsi" w:hAnsiTheme="minorHAnsi"/>
          <w:i/>
          <w:iCs/>
        </w:rPr>
        <w:t xml:space="preserve">Berner Oeltransport v. Dreury, 1 K.B., </w:t>
      </w:r>
      <w:r w:rsidRPr="00C34789">
        <w:rPr>
          <w:rFonts w:asciiTheme="minorHAnsi" w:hAnsiTheme="minorHAnsi"/>
        </w:rPr>
        <w:t>1933, p. 753.</w:t>
      </w:r>
    </w:p>
  </w:footnote>
  <w:footnote w:id="29">
    <w:p w:rsidR="00581BA0" w:rsidRPr="00AE2A2E" w:rsidRDefault="00581BA0" w:rsidP="00C34789">
      <w:pPr>
        <w:pStyle w:val="FootnoteText"/>
        <w:bidi/>
        <w:jc w:val="left"/>
        <w:rPr>
          <w:rtl/>
          <w:lang w:bidi="fa-IR"/>
        </w:rPr>
      </w:pPr>
      <w:r w:rsidRPr="00AE2A2E">
        <w:rPr>
          <w:rFonts w:hint="cs"/>
          <w:rtl/>
        </w:rPr>
        <w:t xml:space="preserve">29- </w:t>
      </w:r>
      <w:r w:rsidRPr="00AE2A2E">
        <w:rPr>
          <w:rtl/>
        </w:rPr>
        <w:t>جن</w:t>
      </w:r>
      <w:r w:rsidRPr="00AE2A2E">
        <w:rPr>
          <w:rFonts w:hint="cs"/>
          <w:rtl/>
        </w:rPr>
        <w:t>ی</w:t>
      </w:r>
      <w:r w:rsidRPr="00AE2A2E">
        <w:rPr>
          <w:rFonts w:hint="eastAsia"/>
          <w:rtl/>
        </w:rPr>
        <w:t>د</w:t>
      </w:r>
      <w:r w:rsidRPr="00AE2A2E">
        <w:rPr>
          <w:rFonts w:hint="cs"/>
          <w:rtl/>
        </w:rPr>
        <w:t xml:space="preserve">ی، لعیا، پیشین، </w:t>
      </w:r>
      <w:r w:rsidRPr="00AE2A2E">
        <w:rPr>
          <w:rtl/>
        </w:rPr>
        <w:t xml:space="preserve">ص </w:t>
      </w:r>
      <w:r w:rsidRPr="00AE2A2E">
        <w:rPr>
          <w:rFonts w:hint="cs"/>
          <w:rtl/>
        </w:rPr>
        <w:t>226.</w:t>
      </w:r>
    </w:p>
  </w:footnote>
  <w:footnote w:id="30">
    <w:p w:rsidR="00581BA0" w:rsidRPr="00AE2A2E" w:rsidRDefault="00581BA0" w:rsidP="00C34789">
      <w:pPr>
        <w:pStyle w:val="FootnoteText"/>
        <w:bidi/>
        <w:jc w:val="left"/>
        <w:rPr>
          <w:lang w:bidi="fa-IR"/>
        </w:rPr>
      </w:pPr>
      <w:r w:rsidRPr="00AE2A2E">
        <w:rPr>
          <w:rFonts w:hint="cs"/>
          <w:rtl/>
          <w:lang w:bidi="fa-IR"/>
        </w:rPr>
        <w:t>30- همان.</w:t>
      </w:r>
    </w:p>
    <w:p w:rsidR="00581BA0" w:rsidRDefault="00581BA0" w:rsidP="00C34789">
      <w:pPr>
        <w:pStyle w:val="FootnoteText"/>
        <w:bidi/>
        <w:jc w:val="left"/>
        <w:rPr>
          <w:rtl/>
          <w:lang w:bidi="fa-IR"/>
        </w:rPr>
      </w:pPr>
      <w:r w:rsidRPr="00AE2A2E">
        <w:rPr>
          <w:rFonts w:hint="cs"/>
          <w:rtl/>
          <w:lang w:bidi="fa-IR"/>
        </w:rPr>
        <w:t>31- همان.</w:t>
      </w:r>
    </w:p>
  </w:footnote>
  <w:footnote w:id="31">
    <w:p w:rsidR="00581BA0" w:rsidRPr="00C34789" w:rsidRDefault="00581BA0" w:rsidP="00C34789">
      <w:pPr>
        <w:pStyle w:val="FootnoteText"/>
        <w:jc w:val="left"/>
        <w:rPr>
          <w:rFonts w:asciiTheme="minorHAnsi" w:hAnsiTheme="minorHAnsi"/>
          <w:rtl/>
          <w:lang w:bidi="fa-IR"/>
        </w:rPr>
      </w:pPr>
    </w:p>
  </w:footnote>
  <w:footnote w:id="32">
    <w:p w:rsidR="00581BA0" w:rsidRPr="00AE2A2E" w:rsidRDefault="00581BA0" w:rsidP="00C34789">
      <w:pPr>
        <w:pStyle w:val="FootnoteText"/>
        <w:jc w:val="left"/>
        <w:rPr>
          <w:rFonts w:asciiTheme="minorHAnsi" w:hAnsiTheme="minorHAnsi"/>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Paulsson, J., et J. Bertrand de Balanda, L’execution des sentences arbitrales dans les pays de common law, Publication CCI N 440/6, 1992, p. 77.</w:t>
      </w:r>
    </w:p>
  </w:footnote>
  <w:footnote w:id="33">
    <w:p w:rsidR="00581BA0" w:rsidRPr="00C34789" w:rsidRDefault="00581BA0" w:rsidP="00C34789">
      <w:pPr>
        <w:pStyle w:val="FootnoteText"/>
        <w:jc w:val="left"/>
        <w:rPr>
          <w:rFonts w:asciiTheme="minorHAnsi" w:hAnsiTheme="minorHAnsi"/>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Ibid.</w:t>
      </w:r>
    </w:p>
  </w:footnote>
  <w:footnote w:id="34">
    <w:p w:rsidR="00581BA0" w:rsidRPr="00C34789" w:rsidRDefault="00581BA0" w:rsidP="00C34789">
      <w:pPr>
        <w:pStyle w:val="FootnoteText"/>
        <w:jc w:val="left"/>
        <w:rPr>
          <w:rFonts w:asciiTheme="minorHAnsi" w:hAnsiTheme="minorHAnsi"/>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Convention Awards.</w:t>
      </w:r>
    </w:p>
  </w:footnote>
  <w:footnote w:id="35">
    <w:p w:rsidR="00581BA0" w:rsidRPr="00C34789" w:rsidRDefault="00581BA0" w:rsidP="00C34789">
      <w:pPr>
        <w:pStyle w:val="FootnoteText"/>
        <w:jc w:val="left"/>
        <w:rPr>
          <w:rFonts w:asciiTheme="minorHAnsi" w:hAnsiTheme="minorHAnsi"/>
          <w:rtl/>
          <w:lang w:bidi="fa-IR"/>
        </w:rPr>
      </w:pPr>
      <w:r w:rsidRPr="00C34789">
        <w:rPr>
          <w:rStyle w:val="FootnoteReference"/>
          <w:rFonts w:asciiTheme="minorHAnsi" w:hAnsiTheme="minorHAnsi"/>
        </w:rPr>
        <w:footnoteRef/>
      </w:r>
      <w:r w:rsidRPr="00C34789">
        <w:rPr>
          <w:rFonts w:asciiTheme="minorHAnsi" w:hAnsiTheme="minorHAnsi"/>
          <w:rtl/>
          <w:lang w:bidi="fa-IR"/>
        </w:rPr>
        <w:t>-</w:t>
      </w:r>
      <w:r w:rsidRPr="00C34789">
        <w:rPr>
          <w:rFonts w:asciiTheme="minorHAnsi" w:hAnsiTheme="minorHAnsi"/>
          <w:lang w:bidi="fa-IR"/>
        </w:rPr>
        <w:t xml:space="preserve"> Foreign Awards.</w:t>
      </w:r>
    </w:p>
  </w:footnote>
  <w:footnote w:id="36">
    <w:p w:rsidR="00581BA0" w:rsidRPr="00C34789" w:rsidRDefault="00581BA0" w:rsidP="00C34789">
      <w:pPr>
        <w:pStyle w:val="FootnoteText"/>
        <w:jc w:val="left"/>
        <w:rPr>
          <w:rFonts w:asciiTheme="minorHAnsi" w:hAnsiTheme="minorHAnsi"/>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Mustill, M.J., &amp; Boyd, S.C., Commercial Arbitartion, London, Butterworthes, 1982, p. 377.</w:t>
      </w:r>
    </w:p>
  </w:footnote>
  <w:footnote w:id="37">
    <w:p w:rsidR="00581BA0" w:rsidRDefault="00581BA0" w:rsidP="00C34789">
      <w:pPr>
        <w:pStyle w:val="FootnoteText"/>
        <w:jc w:val="left"/>
        <w:rPr>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AA. VV., Arbitration Law in Europe, Paris, ICC Services S.A.R.L., 1981, p. 377.</w:t>
      </w:r>
    </w:p>
  </w:footnote>
  <w:footnote w:id="38">
    <w:p w:rsidR="00581BA0" w:rsidRPr="00C34789" w:rsidRDefault="00581BA0" w:rsidP="00C34789">
      <w:pPr>
        <w:pStyle w:val="FootnoteText"/>
        <w:jc w:val="left"/>
        <w:rPr>
          <w:rFonts w:asciiTheme="minorHAnsi" w:hAnsiTheme="minorHAnsi"/>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Paulsson et de Balanda, op.cit., pp. 75 &amp; 85.</w:t>
      </w:r>
    </w:p>
  </w:footnote>
  <w:footnote w:id="39">
    <w:p w:rsidR="00581BA0" w:rsidRDefault="00581BA0" w:rsidP="00C34789">
      <w:pPr>
        <w:pStyle w:val="FootnoteText"/>
        <w:jc w:val="left"/>
        <w:rPr>
          <w:rtl/>
          <w:lang w:bidi="fa-IR"/>
        </w:rPr>
      </w:pPr>
      <w:r w:rsidRPr="00C34789">
        <w:rPr>
          <w:rStyle w:val="FootnoteReference"/>
          <w:rFonts w:asciiTheme="minorHAnsi" w:hAnsiTheme="minorHAnsi"/>
        </w:rPr>
        <w:footnoteRef/>
      </w:r>
      <w:r w:rsidRPr="00C34789">
        <w:rPr>
          <w:rFonts w:asciiTheme="minorHAnsi" w:hAnsiTheme="minorHAnsi"/>
          <w:rtl/>
        </w:rPr>
        <w:t>-</w:t>
      </w:r>
      <w:r w:rsidRPr="00C34789">
        <w:rPr>
          <w:rFonts w:asciiTheme="minorHAnsi" w:hAnsiTheme="minorHAnsi"/>
        </w:rPr>
        <w:t xml:space="preserve"> Ibid.</w:t>
      </w:r>
    </w:p>
  </w:footnote>
  <w:footnote w:id="40">
    <w:p w:rsidR="00581BA0" w:rsidRPr="00644C38" w:rsidRDefault="00581BA0" w:rsidP="00A54E05">
      <w:pPr>
        <w:pStyle w:val="FootnoteText"/>
        <w:jc w:val="left"/>
        <w:rPr>
          <w:rFonts w:asciiTheme="minorHAnsi" w:hAnsiTheme="minorHAnsi"/>
          <w:lang w:bidi="fa-IR"/>
        </w:rPr>
      </w:pPr>
      <w:r w:rsidRPr="00644C38">
        <w:rPr>
          <w:rStyle w:val="FootnoteReference"/>
          <w:rFonts w:asciiTheme="minorHAnsi" w:hAnsiTheme="minorHAnsi"/>
        </w:rPr>
        <w:footnoteRef/>
      </w:r>
      <w:r w:rsidRPr="00644C38">
        <w:rPr>
          <w:rFonts w:asciiTheme="minorHAnsi" w:hAnsiTheme="minorHAnsi"/>
          <w:rtl/>
        </w:rPr>
        <w:t>-</w:t>
      </w:r>
      <w:r w:rsidRPr="00644C38">
        <w:rPr>
          <w:rFonts w:asciiTheme="minorHAnsi" w:hAnsiTheme="minorHAnsi"/>
        </w:rPr>
        <w:t xml:space="preserve"> American Law Institute</w:t>
      </w:r>
      <w:r w:rsidRPr="00644C38">
        <w:rPr>
          <w:rFonts w:asciiTheme="minorHAnsi" w:hAnsiTheme="minorHAnsi"/>
          <w:i/>
          <w:iCs/>
        </w:rPr>
        <w:t>, Restatment of Conflict of Laws</w:t>
      </w:r>
      <w:r w:rsidRPr="00644C38">
        <w:rPr>
          <w:rFonts w:asciiTheme="minorHAnsi" w:hAnsiTheme="minorHAnsi"/>
        </w:rPr>
        <w:t>, 1934, 354-j.</w:t>
      </w:r>
    </w:p>
  </w:footnote>
  <w:footnote w:id="41">
    <w:p w:rsidR="00581BA0" w:rsidRPr="00644C38" w:rsidRDefault="00581BA0" w:rsidP="001A6BD8">
      <w:pPr>
        <w:pStyle w:val="FootnoteText"/>
        <w:ind w:left="360"/>
        <w:rPr>
          <w:rtl/>
          <w:lang w:bidi="fa-IR"/>
        </w:rPr>
      </w:pPr>
      <w:r w:rsidRPr="00644C38">
        <w:rPr>
          <w:rFonts w:hint="cs"/>
          <w:rtl/>
        </w:rPr>
        <w:t>41- نصیری، مرتضی، همان، صص. 223-</w:t>
      </w:r>
      <w:r w:rsidRPr="00644C38">
        <w:rPr>
          <w:rFonts w:asciiTheme="minorHAnsi" w:hAnsiTheme="minorHAnsi"/>
          <w:rtl/>
        </w:rPr>
        <w:t>224</w:t>
      </w:r>
      <w:r w:rsidRPr="00644C38">
        <w:rPr>
          <w:rFonts w:hint="cs"/>
          <w:rtl/>
        </w:rPr>
        <w:t>.</w:t>
      </w:r>
    </w:p>
  </w:footnote>
  <w:footnote w:id="42">
    <w:p w:rsidR="00581BA0" w:rsidRPr="00AE2A2E" w:rsidRDefault="00581BA0" w:rsidP="00A54E05">
      <w:pPr>
        <w:pStyle w:val="FootnoteText"/>
        <w:rPr>
          <w:rtl/>
          <w:lang w:bidi="fa-IR"/>
        </w:rPr>
      </w:pPr>
      <w:r w:rsidRPr="00AE2A2E">
        <w:rPr>
          <w:rFonts w:hint="cs"/>
          <w:rtl/>
        </w:rPr>
        <w:t>42- درخواست ابطال رأی.</w:t>
      </w:r>
    </w:p>
  </w:footnote>
  <w:footnote w:id="43">
    <w:p w:rsidR="00581BA0" w:rsidRDefault="00581BA0" w:rsidP="00A54E05">
      <w:pPr>
        <w:pStyle w:val="FootnoteText"/>
        <w:rPr>
          <w:rtl/>
          <w:lang w:bidi="fa-IR"/>
        </w:rPr>
      </w:pPr>
      <w:r w:rsidRPr="00AE2A2E">
        <w:rPr>
          <w:rFonts w:hint="cs"/>
          <w:rtl/>
        </w:rPr>
        <w:t>43- بطلان رأی</w:t>
      </w:r>
      <w:r>
        <w:rPr>
          <w:rFonts w:hint="cs"/>
          <w:rtl/>
        </w:rPr>
        <w:t>.</w:t>
      </w:r>
    </w:p>
  </w:footnote>
  <w:footnote w:id="44">
    <w:p w:rsidR="00581BA0" w:rsidRDefault="00581BA0" w:rsidP="00E92FA6">
      <w:pPr>
        <w:pStyle w:val="FootnoteText"/>
        <w:rPr>
          <w:rtl/>
          <w:lang w:bidi="fa-IR"/>
        </w:rPr>
      </w:pPr>
      <w:r w:rsidRPr="00AE2A2E">
        <w:rPr>
          <w:rFonts w:asciiTheme="minorHAnsi" w:hAnsiTheme="minorHAnsi"/>
          <w:rtl/>
        </w:rPr>
        <w:t xml:space="preserve">44- محبی، محسن، «امتیازات داوری از حیث اجرای رأی داوری»، </w:t>
      </w:r>
      <w:r w:rsidRPr="00AE2A2E">
        <w:rPr>
          <w:rFonts w:asciiTheme="minorHAnsi" w:hAnsiTheme="minorHAnsi"/>
          <w:b/>
          <w:bCs/>
          <w:rtl/>
        </w:rPr>
        <w:t>مرکز داوری اتاق بازرگانی ایران</w:t>
      </w:r>
      <w:r w:rsidRPr="00AE2A2E">
        <w:rPr>
          <w:rFonts w:asciiTheme="minorHAnsi" w:hAnsiTheme="minorHAnsi"/>
          <w:rtl/>
        </w:rPr>
        <w:t>، 1382، صص 14-15</w:t>
      </w:r>
      <w:r>
        <w:rPr>
          <w:rFonts w:asciiTheme="minorHAnsi" w:hAnsiTheme="minorHAnsi" w:hint="cs"/>
          <w:rtl/>
        </w:rPr>
        <w:t>.</w:t>
      </w:r>
    </w:p>
  </w:footnote>
  <w:footnote w:id="45">
    <w:p w:rsidR="00581BA0" w:rsidRDefault="00581BA0" w:rsidP="00E92FA6">
      <w:pPr>
        <w:pStyle w:val="FootnoteText"/>
        <w:rPr>
          <w:rtl/>
          <w:lang w:bidi="fa-IR"/>
        </w:rPr>
      </w:pPr>
      <w:r w:rsidRPr="00BD7EF7">
        <w:rPr>
          <w:rFonts w:hint="cs"/>
          <w:rtl/>
        </w:rPr>
        <w:t>45- جنیدی، لعیا،</w:t>
      </w:r>
      <w:r w:rsidRPr="00BD7EF7">
        <w:rPr>
          <w:rtl/>
        </w:rPr>
        <w:t xml:space="preserve"> </w:t>
      </w:r>
      <w:r w:rsidRPr="00BD7EF7">
        <w:rPr>
          <w:rFonts w:hint="cs"/>
          <w:rtl/>
        </w:rPr>
        <w:t>منبع پیشین،</w:t>
      </w:r>
      <w:r w:rsidRPr="00BD7EF7">
        <w:rPr>
          <w:rtl/>
        </w:rPr>
        <w:t xml:space="preserve"> ص</w:t>
      </w:r>
      <w:r w:rsidRPr="00BD7EF7">
        <w:rPr>
          <w:rFonts w:hint="cs"/>
          <w:rtl/>
        </w:rPr>
        <w:t xml:space="preserve"> 238</w:t>
      </w:r>
      <w:r w:rsidRPr="00F4490E">
        <w:rPr>
          <w:rtl/>
        </w:rPr>
        <w:t>.</w:t>
      </w:r>
    </w:p>
  </w:footnote>
  <w:footnote w:id="46">
    <w:p w:rsidR="00581BA0" w:rsidRDefault="00581BA0" w:rsidP="00785084">
      <w:pPr>
        <w:pStyle w:val="FootnoteText"/>
        <w:ind w:left="360"/>
        <w:rPr>
          <w:rtl/>
          <w:lang w:bidi="fa-IR"/>
        </w:rPr>
      </w:pPr>
      <w:r>
        <w:rPr>
          <w:rFonts w:hint="cs"/>
          <w:rtl/>
        </w:rPr>
        <w:t>46- همان،</w:t>
      </w:r>
      <w:r>
        <w:rPr>
          <w:rtl/>
        </w:rPr>
        <w:t xml:space="preserve"> ص</w:t>
      </w:r>
      <w:r>
        <w:rPr>
          <w:rFonts w:hint="cs"/>
          <w:rtl/>
        </w:rPr>
        <w:t>240</w:t>
      </w:r>
      <w:r w:rsidRPr="00F4490E">
        <w:rPr>
          <w:rtl/>
        </w:rPr>
        <w:t>.</w:t>
      </w:r>
    </w:p>
  </w:footnote>
  <w:footnote w:id="47">
    <w:p w:rsidR="00581BA0" w:rsidRPr="00BD7EF7" w:rsidRDefault="00581BA0" w:rsidP="00BD7EF7">
      <w:pPr>
        <w:pStyle w:val="FootnoteText"/>
        <w:jc w:val="both"/>
        <w:rPr>
          <w:rFonts w:asciiTheme="minorHAnsi" w:hAnsiTheme="minorHAnsi"/>
          <w:rtl/>
        </w:rPr>
      </w:pPr>
      <w:r w:rsidRPr="00BD7EF7">
        <w:rPr>
          <w:rStyle w:val="FootnoteReference"/>
          <w:rFonts w:asciiTheme="minorHAnsi" w:hAnsiTheme="minorHAnsi"/>
        </w:rPr>
        <w:footnoteRef/>
      </w:r>
      <w:r w:rsidRPr="00BD7EF7">
        <w:rPr>
          <w:rFonts w:asciiTheme="minorHAnsi" w:hAnsiTheme="minorHAnsi"/>
          <w:rtl/>
        </w:rPr>
        <w:t>-</w:t>
      </w:r>
      <w:r w:rsidRPr="00BD7EF7">
        <w:rPr>
          <w:rFonts w:asciiTheme="minorHAnsi" w:hAnsiTheme="minorHAnsi"/>
        </w:rPr>
        <w:t xml:space="preserve"> Pubic Interest</w:t>
      </w:r>
    </w:p>
    <w:p w:rsidR="00581BA0" w:rsidRPr="00BD7EF7" w:rsidRDefault="00581BA0" w:rsidP="00981D40">
      <w:pPr>
        <w:pStyle w:val="FootnoteText"/>
        <w:rPr>
          <w:lang w:bidi="fa-IR"/>
        </w:rPr>
      </w:pPr>
      <w:r w:rsidRPr="00BD7EF7">
        <w:tab/>
      </w:r>
      <w:r w:rsidRPr="00BD7EF7">
        <w:rPr>
          <w:rFonts w:hint="cs"/>
          <w:rtl/>
        </w:rPr>
        <w:t>48-</w:t>
      </w:r>
      <w:r w:rsidRPr="00BD7EF7">
        <w:rPr>
          <w:rFonts w:hint="cs"/>
          <w:rtl/>
          <w:lang w:bidi="fa-IR"/>
        </w:rPr>
        <w:t xml:space="preserve"> ارفع نیا، بهشید، </w:t>
      </w:r>
      <w:r w:rsidRPr="00BD7EF7">
        <w:rPr>
          <w:rFonts w:hint="cs"/>
          <w:b/>
          <w:bCs/>
          <w:rtl/>
          <w:lang w:bidi="fa-IR"/>
        </w:rPr>
        <w:t>تعارض قوانین و تعارض دادگاه‌ها</w:t>
      </w:r>
      <w:r w:rsidRPr="00BD7EF7">
        <w:rPr>
          <w:rFonts w:hint="cs"/>
          <w:rtl/>
          <w:lang w:bidi="fa-IR"/>
        </w:rPr>
        <w:t>، چاپ اول، جلد دوم، 1369، تهران، ص89.</w:t>
      </w:r>
    </w:p>
  </w:footnote>
  <w:footnote w:id="48">
    <w:p w:rsidR="00581BA0" w:rsidRDefault="00581BA0" w:rsidP="00981D40">
      <w:pPr>
        <w:pStyle w:val="FootnoteText"/>
        <w:tabs>
          <w:tab w:val="left" w:pos="6787"/>
          <w:tab w:val="right" w:pos="8280"/>
        </w:tabs>
        <w:bidi/>
        <w:jc w:val="both"/>
        <w:rPr>
          <w:rtl/>
          <w:lang w:bidi="fa-IR"/>
        </w:rPr>
      </w:pPr>
    </w:p>
  </w:footnote>
  <w:footnote w:id="49">
    <w:p w:rsidR="00581BA0" w:rsidRPr="00BD7EF7" w:rsidRDefault="00581BA0" w:rsidP="00F171DF">
      <w:pPr>
        <w:pStyle w:val="FootnoteText"/>
        <w:jc w:val="left"/>
        <w:rPr>
          <w:rFonts w:asciiTheme="minorHAnsi" w:hAnsiTheme="minorHAnsi"/>
          <w:lang w:bidi="fa-IR"/>
        </w:rPr>
      </w:pPr>
      <w:r w:rsidRPr="00BD7EF7">
        <w:rPr>
          <w:rStyle w:val="FootnoteReference"/>
          <w:rFonts w:asciiTheme="minorHAnsi" w:hAnsiTheme="minorHAnsi"/>
        </w:rPr>
        <w:footnoteRef/>
      </w:r>
      <w:r w:rsidRPr="00BD7EF7">
        <w:rPr>
          <w:rFonts w:asciiTheme="minorHAnsi" w:hAnsiTheme="minorHAnsi"/>
        </w:rPr>
        <w:t>- Good Morals</w:t>
      </w:r>
    </w:p>
  </w:footnote>
  <w:footnote w:id="50">
    <w:p w:rsidR="00581BA0" w:rsidRPr="00BD7EF7" w:rsidRDefault="00581BA0" w:rsidP="00DD5E04">
      <w:pPr>
        <w:pStyle w:val="FootnoteText"/>
        <w:jc w:val="left"/>
        <w:rPr>
          <w:rFonts w:asciiTheme="minorHAnsi" w:hAnsiTheme="minorHAnsi"/>
          <w:lang w:bidi="fa-IR"/>
        </w:rPr>
      </w:pPr>
      <w:r w:rsidRPr="00BD7EF7">
        <w:rPr>
          <w:rStyle w:val="FootnoteReference"/>
          <w:rFonts w:asciiTheme="minorHAnsi" w:hAnsiTheme="minorHAnsi"/>
        </w:rPr>
        <w:footnoteRef/>
      </w:r>
      <w:r w:rsidRPr="00BD7EF7">
        <w:rPr>
          <w:rFonts w:asciiTheme="minorHAnsi" w:hAnsiTheme="minorHAnsi"/>
        </w:rPr>
        <w:t xml:space="preserve">- </w:t>
      </w:r>
      <w:r w:rsidRPr="00BD7EF7">
        <w:rPr>
          <w:rFonts w:asciiTheme="minorHAnsi" w:hAnsiTheme="minorHAnsi"/>
          <w:lang w:bidi="fa-IR"/>
        </w:rPr>
        <w:t>Domat</w:t>
      </w:r>
    </w:p>
  </w:footnote>
  <w:footnote w:id="51">
    <w:p w:rsidR="00581BA0" w:rsidRPr="00BD7EF7" w:rsidRDefault="00581BA0" w:rsidP="00D2001C">
      <w:pPr>
        <w:pStyle w:val="FootnoteText"/>
        <w:jc w:val="left"/>
        <w:rPr>
          <w:rFonts w:asciiTheme="minorHAnsi" w:hAnsiTheme="minorHAnsi"/>
          <w:lang w:bidi="fa-IR"/>
        </w:rPr>
      </w:pPr>
      <w:r w:rsidRPr="00BD7EF7">
        <w:rPr>
          <w:rStyle w:val="FootnoteReference"/>
          <w:rFonts w:asciiTheme="minorHAnsi" w:hAnsiTheme="minorHAnsi"/>
        </w:rPr>
        <w:footnoteRef/>
      </w:r>
      <w:r w:rsidRPr="00BD7EF7">
        <w:rPr>
          <w:rFonts w:asciiTheme="minorHAnsi" w:hAnsiTheme="minorHAnsi"/>
        </w:rPr>
        <w:t>- Social Order</w:t>
      </w:r>
    </w:p>
  </w:footnote>
  <w:footnote w:id="52">
    <w:p w:rsidR="00581BA0" w:rsidRPr="00BD7EF7" w:rsidRDefault="00581BA0" w:rsidP="00D2001C">
      <w:pPr>
        <w:pStyle w:val="FootnoteText"/>
        <w:jc w:val="left"/>
        <w:rPr>
          <w:rFonts w:asciiTheme="minorHAnsi" w:hAnsiTheme="minorHAnsi"/>
        </w:rPr>
      </w:pPr>
      <w:r w:rsidRPr="00BD7EF7">
        <w:rPr>
          <w:rStyle w:val="FootnoteReference"/>
          <w:rFonts w:asciiTheme="minorHAnsi" w:hAnsiTheme="minorHAnsi"/>
        </w:rPr>
        <w:footnoteRef/>
      </w:r>
      <w:r w:rsidRPr="00BD7EF7">
        <w:rPr>
          <w:rFonts w:asciiTheme="minorHAnsi" w:hAnsiTheme="minorHAnsi"/>
        </w:rPr>
        <w:t>- Obstacle Order</w:t>
      </w:r>
    </w:p>
  </w:footnote>
  <w:footnote w:id="53">
    <w:p w:rsidR="00581BA0" w:rsidRPr="00BD7EF7" w:rsidRDefault="00581BA0" w:rsidP="00F862EB">
      <w:pPr>
        <w:pStyle w:val="FootnoteText"/>
        <w:bidi/>
        <w:jc w:val="left"/>
        <w:rPr>
          <w:rFonts w:asciiTheme="minorHAnsi" w:hAnsiTheme="minorHAnsi"/>
          <w:rtl/>
          <w:lang w:bidi="fa-IR"/>
        </w:rPr>
      </w:pPr>
      <w:r w:rsidRPr="00BD7EF7">
        <w:rPr>
          <w:rFonts w:asciiTheme="minorHAnsi" w:hAnsiTheme="minorHAnsi"/>
          <w:rtl/>
          <w:lang w:bidi="fa-IR"/>
        </w:rPr>
        <w:t>53- مدنیان ،غلام‌رضا، دیگران، «امکان یا امتناع تبیین نظم عمومی در حقوق</w:t>
      </w:r>
      <w:r>
        <w:rPr>
          <w:rFonts w:asciiTheme="minorHAnsi" w:hAnsiTheme="minorHAnsi" w:hint="cs"/>
          <w:rtl/>
          <w:lang w:bidi="fa-IR"/>
        </w:rPr>
        <w:t>»،</w:t>
      </w:r>
      <w:r w:rsidRPr="00BD7EF7">
        <w:rPr>
          <w:rFonts w:asciiTheme="minorHAnsi" w:hAnsiTheme="minorHAnsi"/>
          <w:rtl/>
          <w:lang w:bidi="fa-IR"/>
        </w:rPr>
        <w:t xml:space="preserve"> (مطالعه در حقوق ک</w:t>
      </w:r>
      <w:r>
        <w:rPr>
          <w:rFonts w:asciiTheme="minorHAnsi" w:hAnsiTheme="minorHAnsi"/>
          <w:rtl/>
          <w:lang w:bidi="fa-IR"/>
        </w:rPr>
        <w:t>شورهای ایران، انگلیس و فرانسه)</w:t>
      </w:r>
      <w:r w:rsidRPr="00BD7EF7">
        <w:rPr>
          <w:rFonts w:asciiTheme="minorHAnsi" w:hAnsiTheme="minorHAnsi"/>
          <w:rtl/>
          <w:lang w:bidi="fa-IR"/>
        </w:rPr>
        <w:t xml:space="preserve">، </w:t>
      </w:r>
      <w:r w:rsidRPr="00BD7EF7">
        <w:rPr>
          <w:rFonts w:asciiTheme="minorHAnsi" w:hAnsiTheme="minorHAnsi"/>
          <w:b/>
          <w:bCs/>
          <w:rtl/>
          <w:lang w:bidi="fa-IR"/>
        </w:rPr>
        <w:t>فصلنامه پژوهش‌های حقوق تطبیقی</w:t>
      </w:r>
      <w:r w:rsidRPr="00BD7EF7">
        <w:rPr>
          <w:rFonts w:asciiTheme="minorHAnsi" w:hAnsiTheme="minorHAnsi"/>
          <w:rtl/>
          <w:lang w:bidi="fa-IR"/>
        </w:rPr>
        <w:t>، دوره 15، شماره 3، دانشگاه تربیت مدرس، تهران 1390، ص148.</w:t>
      </w:r>
    </w:p>
  </w:footnote>
  <w:footnote w:id="54">
    <w:p w:rsidR="00581BA0" w:rsidRDefault="00581BA0" w:rsidP="00DD5E04">
      <w:pPr>
        <w:pStyle w:val="FootnoteText"/>
        <w:jc w:val="left"/>
        <w:rPr>
          <w:rtl/>
          <w:lang w:bidi="fa-IR"/>
        </w:rPr>
      </w:pPr>
      <w:r w:rsidRPr="00BD7EF7">
        <w:rPr>
          <w:rStyle w:val="FootnoteReference"/>
          <w:rFonts w:asciiTheme="minorHAnsi" w:hAnsiTheme="minorHAnsi"/>
        </w:rPr>
        <w:footnoteRef/>
      </w:r>
      <w:r w:rsidRPr="00BD7EF7">
        <w:rPr>
          <w:rFonts w:asciiTheme="minorHAnsi" w:hAnsiTheme="minorHAnsi"/>
        </w:rPr>
        <w:t>- Public Order</w:t>
      </w:r>
    </w:p>
  </w:footnote>
  <w:footnote w:id="55">
    <w:p w:rsidR="00581BA0" w:rsidRPr="00AA65FB" w:rsidRDefault="00581BA0" w:rsidP="00E645AF">
      <w:pPr>
        <w:pStyle w:val="FootnoteText"/>
        <w:bidi/>
        <w:jc w:val="left"/>
        <w:rPr>
          <w:rtl/>
          <w:lang w:bidi="fa-IR"/>
        </w:rPr>
      </w:pPr>
      <w:r w:rsidRPr="00BD7EF7">
        <w:rPr>
          <w:rFonts w:asciiTheme="minorHAnsi" w:hAnsiTheme="minorHAnsi"/>
          <w:rtl/>
          <w:lang w:bidi="fa-IR"/>
        </w:rPr>
        <w:t>55</w:t>
      </w:r>
      <w:r w:rsidRPr="00BD7EF7">
        <w:rPr>
          <w:rFonts w:hint="cs"/>
          <w:rtl/>
          <w:lang w:bidi="fa-IR"/>
        </w:rPr>
        <w:t>- اصطلاح نظم عمومی برای نخستین بار به طور صریح در ماده 6 قانون ناپلئون ذکر شد.</w:t>
      </w:r>
    </w:p>
  </w:footnote>
  <w:footnote w:id="56">
    <w:p w:rsidR="00581BA0" w:rsidRPr="00BD7EF7" w:rsidRDefault="00581BA0" w:rsidP="00AA65FB">
      <w:pPr>
        <w:pStyle w:val="FootnoteText"/>
        <w:jc w:val="left"/>
        <w:rPr>
          <w:rFonts w:asciiTheme="minorHAnsi" w:hAnsiTheme="minorHAnsi"/>
          <w:lang w:bidi="fa-IR"/>
        </w:rPr>
      </w:pPr>
      <w:r w:rsidRPr="00BD7EF7">
        <w:rPr>
          <w:rStyle w:val="FootnoteReference"/>
          <w:rFonts w:asciiTheme="minorHAnsi" w:hAnsiTheme="minorHAnsi"/>
        </w:rPr>
        <w:footnoteRef/>
      </w:r>
      <w:r w:rsidRPr="00BD7EF7">
        <w:rPr>
          <w:rFonts w:asciiTheme="minorHAnsi" w:hAnsiTheme="minorHAnsi"/>
        </w:rPr>
        <w:t xml:space="preserve">- </w:t>
      </w:r>
      <w:r w:rsidRPr="00BD7EF7">
        <w:rPr>
          <w:rFonts w:asciiTheme="minorHAnsi" w:hAnsiTheme="minorHAnsi"/>
          <w:lang w:bidi="fa-IR"/>
        </w:rPr>
        <w:t>Rene David</w:t>
      </w:r>
    </w:p>
  </w:footnote>
  <w:footnote w:id="57">
    <w:p w:rsidR="00581BA0" w:rsidRPr="00DC79AC" w:rsidRDefault="00581BA0" w:rsidP="00DC79AC">
      <w:pPr>
        <w:pStyle w:val="FootnoteText"/>
        <w:jc w:val="left"/>
        <w:rPr>
          <w:rFonts w:asciiTheme="minorHAnsi" w:hAnsiTheme="minorHAnsi"/>
          <w:rtl/>
          <w:lang w:bidi="fa-IR"/>
        </w:rPr>
      </w:pPr>
      <w:r w:rsidRPr="00DC79AC">
        <w:rPr>
          <w:rStyle w:val="FootnoteReference"/>
          <w:rFonts w:asciiTheme="minorHAnsi" w:hAnsiTheme="minorHAnsi"/>
        </w:rPr>
        <w:footnoteRef/>
      </w:r>
      <w:r w:rsidRPr="00DC79AC">
        <w:rPr>
          <w:rFonts w:asciiTheme="minorHAnsi" w:hAnsiTheme="minorHAnsi"/>
        </w:rPr>
        <w:t>- Gold, Joseph, The Fund Agreement in the Courts, International Monetary Fund, 4 Vols, 1986, p.556.</w:t>
      </w:r>
    </w:p>
  </w:footnote>
  <w:footnote w:id="58">
    <w:p w:rsidR="00581BA0" w:rsidRPr="00DC79AC" w:rsidRDefault="00581BA0" w:rsidP="00DC79AC">
      <w:pPr>
        <w:pStyle w:val="FootnoteText"/>
        <w:tabs>
          <w:tab w:val="left" w:pos="7150"/>
        </w:tabs>
        <w:jc w:val="left"/>
        <w:rPr>
          <w:rFonts w:asciiTheme="minorHAnsi" w:hAnsiTheme="minorHAnsi"/>
          <w:lang w:bidi="fa-IR"/>
        </w:rPr>
      </w:pPr>
      <w:r w:rsidRPr="00DC79AC">
        <w:rPr>
          <w:rStyle w:val="FootnoteReference"/>
          <w:rFonts w:asciiTheme="minorHAnsi" w:hAnsiTheme="minorHAnsi"/>
        </w:rPr>
        <w:footnoteRef/>
      </w:r>
      <w:r w:rsidRPr="00DC79AC">
        <w:rPr>
          <w:rFonts w:asciiTheme="minorHAnsi" w:hAnsiTheme="minorHAnsi"/>
        </w:rPr>
        <w:t xml:space="preserve">- </w:t>
      </w:r>
      <w:r w:rsidRPr="00DC79AC">
        <w:rPr>
          <w:rFonts w:asciiTheme="minorHAnsi" w:hAnsiTheme="minorHAnsi"/>
          <w:lang w:bidi="fa-IR"/>
        </w:rPr>
        <w:t>Common law</w:t>
      </w:r>
      <w:r w:rsidRPr="00DC79AC">
        <w:rPr>
          <w:rFonts w:asciiTheme="minorHAnsi" w:hAnsiTheme="minorHAnsi"/>
          <w:lang w:bidi="fa-IR"/>
        </w:rPr>
        <w:tab/>
      </w:r>
    </w:p>
  </w:footnote>
  <w:footnote w:id="59">
    <w:p w:rsidR="00581BA0" w:rsidRDefault="00581BA0" w:rsidP="00DC79AC">
      <w:pPr>
        <w:pStyle w:val="FootnoteText"/>
        <w:jc w:val="left"/>
        <w:rPr>
          <w:lang w:bidi="fa-IR"/>
        </w:rPr>
      </w:pPr>
      <w:r w:rsidRPr="00DC79AC">
        <w:rPr>
          <w:rStyle w:val="FootnoteReference"/>
          <w:rFonts w:asciiTheme="minorHAnsi" w:hAnsiTheme="minorHAnsi"/>
        </w:rPr>
        <w:footnoteRef/>
      </w:r>
      <w:r w:rsidRPr="00DC79AC">
        <w:rPr>
          <w:rFonts w:asciiTheme="minorHAnsi" w:hAnsiTheme="minorHAnsi"/>
        </w:rPr>
        <w:t xml:space="preserve">- </w:t>
      </w:r>
      <w:r w:rsidRPr="00DC79AC">
        <w:rPr>
          <w:rFonts w:asciiTheme="minorHAnsi" w:hAnsiTheme="minorHAnsi"/>
          <w:lang w:bidi="fa-IR"/>
        </w:rPr>
        <w:t>Public policy</w:t>
      </w:r>
    </w:p>
  </w:footnote>
  <w:footnote w:id="60">
    <w:p w:rsidR="00581BA0" w:rsidRPr="00BD7EF7" w:rsidRDefault="00581BA0" w:rsidP="007D1685">
      <w:pPr>
        <w:pStyle w:val="FootnoteText"/>
        <w:bidi/>
        <w:jc w:val="left"/>
        <w:rPr>
          <w:rFonts w:asciiTheme="minorHAnsi" w:hAnsiTheme="minorHAnsi"/>
          <w:rtl/>
          <w:lang w:bidi="fa-IR"/>
        </w:rPr>
      </w:pPr>
      <w:r w:rsidRPr="00F862EB">
        <w:rPr>
          <w:rFonts w:asciiTheme="minorHAnsi" w:hAnsiTheme="minorHAnsi"/>
          <w:rtl/>
        </w:rPr>
        <w:t xml:space="preserve">60- </w:t>
      </w:r>
      <w:r w:rsidRPr="00F862EB">
        <w:rPr>
          <w:rFonts w:asciiTheme="minorHAnsi" w:hAnsiTheme="minorHAnsi"/>
          <w:rtl/>
          <w:lang w:bidi="fa-IR"/>
        </w:rPr>
        <w:t>همان</w:t>
      </w:r>
    </w:p>
  </w:footnote>
  <w:footnote w:id="61">
    <w:p w:rsidR="00581BA0" w:rsidRPr="00F862EB" w:rsidRDefault="00581BA0" w:rsidP="009273B4">
      <w:pPr>
        <w:pStyle w:val="FootnoteText"/>
        <w:bidi/>
        <w:jc w:val="left"/>
        <w:rPr>
          <w:rFonts w:asciiTheme="minorHAnsi" w:hAnsiTheme="minorHAnsi"/>
          <w:rtl/>
          <w:lang w:bidi="fa-IR"/>
        </w:rPr>
      </w:pPr>
      <w:r w:rsidRPr="00F862EB">
        <w:rPr>
          <w:rFonts w:asciiTheme="minorHAnsi" w:hAnsiTheme="minorHAnsi"/>
          <w:rtl/>
        </w:rPr>
        <w:t xml:space="preserve">61- </w:t>
      </w:r>
      <w:r w:rsidRPr="00F862EB">
        <w:rPr>
          <w:rFonts w:asciiTheme="minorHAnsi" w:hAnsiTheme="minorHAnsi"/>
          <w:rtl/>
          <w:lang w:bidi="fa-IR"/>
        </w:rPr>
        <w:t xml:space="preserve">ابدالی، مهرزاد، محمد عیسی تفرشی، «بررسی قراردادهای نامشروع(مغایر نظم عمومی) در حقوق فرانسه، انگلیس و ایران»، </w:t>
      </w:r>
      <w:r w:rsidRPr="00F862EB">
        <w:rPr>
          <w:rFonts w:asciiTheme="minorHAnsi" w:hAnsiTheme="minorHAnsi"/>
          <w:b/>
          <w:bCs/>
          <w:rtl/>
          <w:lang w:bidi="fa-IR"/>
        </w:rPr>
        <w:t>فصلنامه پژوهش‌های حقوق تطبیقی</w:t>
      </w:r>
      <w:r w:rsidRPr="00F862EB">
        <w:rPr>
          <w:rFonts w:asciiTheme="minorHAnsi" w:hAnsiTheme="minorHAnsi"/>
          <w:rtl/>
          <w:lang w:bidi="fa-IR"/>
        </w:rPr>
        <w:t>، دوره 8، ویژه‌نامه 37 پیاپی، دانشگاه تربیت مدرس، تهران 1383، ص 3.</w:t>
      </w:r>
    </w:p>
  </w:footnote>
  <w:footnote w:id="62">
    <w:p w:rsidR="00581BA0" w:rsidRDefault="00581BA0" w:rsidP="009273B4">
      <w:pPr>
        <w:pStyle w:val="FootnoteText"/>
        <w:bidi/>
        <w:jc w:val="left"/>
        <w:rPr>
          <w:rtl/>
          <w:lang w:bidi="fa-IR"/>
        </w:rPr>
      </w:pPr>
      <w:r w:rsidRPr="00F862EB">
        <w:rPr>
          <w:rFonts w:asciiTheme="minorHAnsi" w:hAnsiTheme="minorHAnsi"/>
          <w:rtl/>
        </w:rPr>
        <w:t xml:space="preserve">62- مدنیان، </w:t>
      </w:r>
      <w:r w:rsidRPr="00F862EB">
        <w:rPr>
          <w:rFonts w:asciiTheme="minorHAnsi" w:hAnsiTheme="minorHAnsi"/>
          <w:rtl/>
          <w:lang w:bidi="fa-IR"/>
        </w:rPr>
        <w:t>غلام‌رضا، دیگران، منبع پیشین، ص136.</w:t>
      </w:r>
    </w:p>
  </w:footnote>
  <w:footnote w:id="63">
    <w:p w:rsidR="00581BA0" w:rsidRPr="00F862EB" w:rsidRDefault="00581BA0" w:rsidP="007D1685">
      <w:pPr>
        <w:pStyle w:val="FootnoteText"/>
        <w:jc w:val="left"/>
        <w:rPr>
          <w:rFonts w:asciiTheme="minorHAnsi" w:hAnsiTheme="minorHAnsi"/>
          <w:lang w:bidi="fa-IR"/>
        </w:rPr>
      </w:pPr>
      <w:r w:rsidRPr="00F862EB">
        <w:rPr>
          <w:rStyle w:val="FootnoteReference"/>
          <w:rFonts w:asciiTheme="minorHAnsi" w:hAnsiTheme="minorHAnsi"/>
        </w:rPr>
        <w:footnoteRef/>
      </w:r>
      <w:r w:rsidRPr="00F862EB">
        <w:rPr>
          <w:rFonts w:asciiTheme="minorHAnsi" w:hAnsiTheme="minorHAnsi"/>
          <w:rtl/>
        </w:rPr>
        <w:t>-</w:t>
      </w:r>
      <w:r w:rsidRPr="00F862EB">
        <w:rPr>
          <w:rFonts w:asciiTheme="minorHAnsi" w:hAnsiTheme="minorHAnsi"/>
        </w:rPr>
        <w:t xml:space="preserve"> </w:t>
      </w:r>
      <w:r w:rsidRPr="00F862EB">
        <w:rPr>
          <w:rFonts w:asciiTheme="minorHAnsi" w:hAnsiTheme="minorHAnsi"/>
          <w:lang w:bidi="fa-IR"/>
        </w:rPr>
        <w:t>Williams, David, law of contract, London, Butterworth,1997p129.</w:t>
      </w:r>
    </w:p>
  </w:footnote>
  <w:footnote w:id="64">
    <w:p w:rsidR="00581BA0" w:rsidRPr="00DC79AC" w:rsidRDefault="00581BA0" w:rsidP="0024558C">
      <w:pPr>
        <w:pStyle w:val="FootnoteText"/>
        <w:bidi/>
        <w:jc w:val="left"/>
        <w:rPr>
          <w:rtl/>
          <w:lang w:bidi="fa-IR"/>
        </w:rPr>
      </w:pPr>
      <w:r w:rsidRPr="00DC79AC">
        <w:rPr>
          <w:rFonts w:hint="cs"/>
          <w:rtl/>
        </w:rPr>
        <w:t xml:space="preserve">64- مدنیان، </w:t>
      </w:r>
      <w:r w:rsidRPr="00DC79AC">
        <w:rPr>
          <w:rFonts w:hint="cs"/>
          <w:rtl/>
          <w:lang w:bidi="fa-IR"/>
        </w:rPr>
        <w:t>غلام‌رضا، دیگران، منبع پیشین، ص 140.</w:t>
      </w:r>
    </w:p>
  </w:footnote>
  <w:footnote w:id="65">
    <w:p w:rsidR="00581BA0" w:rsidRDefault="00581BA0" w:rsidP="006C4FC8">
      <w:pPr>
        <w:pStyle w:val="FootnoteText"/>
        <w:bidi/>
        <w:jc w:val="left"/>
      </w:pPr>
      <w:r w:rsidRPr="00DC79AC">
        <w:rPr>
          <w:rFonts w:hint="cs"/>
          <w:rtl/>
        </w:rPr>
        <w:t>65-</w:t>
      </w:r>
      <w:r w:rsidRPr="00DC79AC">
        <w:t xml:space="preserve"> </w:t>
      </w:r>
      <w:r w:rsidRPr="00DC79AC">
        <w:rPr>
          <w:rFonts w:hint="cs"/>
          <w:rtl/>
        </w:rPr>
        <w:t xml:space="preserve">احمدی واستانی، عبدالغنی، </w:t>
      </w:r>
      <w:r w:rsidRPr="00DC79AC">
        <w:rPr>
          <w:rFonts w:hint="cs"/>
          <w:b/>
          <w:bCs/>
          <w:rtl/>
        </w:rPr>
        <w:t>نظم عمومی در حقوق خصوصی</w:t>
      </w:r>
      <w:r w:rsidRPr="00DC79AC">
        <w:rPr>
          <w:rFonts w:hint="cs"/>
          <w:rtl/>
        </w:rPr>
        <w:t xml:space="preserve">، روزنامه رسمی، 1341، تهران، ص3. ؛ مرسلی، یدالله، </w:t>
      </w:r>
      <w:r w:rsidRPr="00DC79AC">
        <w:rPr>
          <w:rFonts w:hint="cs"/>
          <w:b/>
          <w:bCs/>
          <w:rtl/>
        </w:rPr>
        <w:t>نظم عمومی در اعمال</w:t>
      </w:r>
      <w:r w:rsidRPr="00DC79AC">
        <w:rPr>
          <w:rFonts w:hint="cs"/>
          <w:rtl/>
        </w:rPr>
        <w:t xml:space="preserve"> </w:t>
      </w:r>
      <w:r w:rsidRPr="00DC79AC">
        <w:rPr>
          <w:rFonts w:hint="cs"/>
          <w:b/>
          <w:bCs/>
          <w:rtl/>
        </w:rPr>
        <w:t>حقوقی</w:t>
      </w:r>
      <w:r w:rsidRPr="00DC79AC">
        <w:rPr>
          <w:rFonts w:hint="cs"/>
          <w:rtl/>
        </w:rPr>
        <w:t>، پایان‌نامه کارشناسی ارشد، دانشگاه تهران، 1380، ص12.</w:t>
      </w:r>
    </w:p>
  </w:footnote>
  <w:footnote w:id="66">
    <w:p w:rsidR="00581BA0" w:rsidRPr="009308A0" w:rsidRDefault="00581BA0" w:rsidP="007D1685">
      <w:pPr>
        <w:pStyle w:val="FootnoteText"/>
        <w:jc w:val="left"/>
        <w:rPr>
          <w:rFonts w:asciiTheme="minorHAnsi" w:hAnsiTheme="minorHAnsi"/>
          <w:lang w:bidi="fa-IR"/>
        </w:rPr>
      </w:pPr>
      <w:r w:rsidRPr="009308A0">
        <w:rPr>
          <w:rStyle w:val="FootnoteReference"/>
          <w:rFonts w:asciiTheme="minorHAnsi" w:hAnsiTheme="minorHAnsi"/>
        </w:rPr>
        <w:footnoteRef/>
      </w:r>
      <w:r w:rsidRPr="009308A0">
        <w:rPr>
          <w:rFonts w:asciiTheme="minorHAnsi" w:hAnsiTheme="minorHAnsi"/>
          <w:rtl/>
        </w:rPr>
        <w:t>-</w:t>
      </w:r>
      <w:r w:rsidRPr="009308A0">
        <w:rPr>
          <w:rFonts w:asciiTheme="minorHAnsi" w:hAnsiTheme="minorHAnsi"/>
        </w:rPr>
        <w:t xml:space="preserve"> </w:t>
      </w:r>
      <w:r w:rsidRPr="009308A0">
        <w:rPr>
          <w:rFonts w:asciiTheme="minorHAnsi" w:hAnsiTheme="minorHAnsi"/>
          <w:lang w:bidi="fa-IR"/>
        </w:rPr>
        <w:t xml:space="preserve">Capitant </w:t>
      </w:r>
    </w:p>
  </w:footnote>
  <w:footnote w:id="67">
    <w:p w:rsidR="00581BA0" w:rsidRPr="00DC79AC" w:rsidRDefault="00581BA0" w:rsidP="007D1685">
      <w:pPr>
        <w:pStyle w:val="FootnoteText"/>
        <w:bidi/>
        <w:jc w:val="left"/>
        <w:rPr>
          <w:rtl/>
          <w:lang w:bidi="fa-IR"/>
        </w:rPr>
      </w:pPr>
      <w:r w:rsidRPr="00DC79AC">
        <w:rPr>
          <w:rFonts w:hint="cs"/>
          <w:rtl/>
        </w:rPr>
        <w:t xml:space="preserve">67- </w:t>
      </w:r>
      <w:r w:rsidRPr="00DC79AC">
        <w:rPr>
          <w:rFonts w:hint="cs"/>
          <w:rtl/>
          <w:lang w:bidi="fa-IR"/>
        </w:rPr>
        <w:t xml:space="preserve">حبیب زاده، محمد جعفر، «رژیم قانونی بودن حقوق کیفری عامل مؤثر در رشد و توسعه»، </w:t>
      </w:r>
      <w:r w:rsidRPr="00DC79AC">
        <w:rPr>
          <w:rFonts w:hint="cs"/>
          <w:b/>
          <w:bCs/>
          <w:rtl/>
          <w:lang w:bidi="fa-IR"/>
        </w:rPr>
        <w:t>مجله حقوقی و قضایی دادگستری</w:t>
      </w:r>
      <w:r w:rsidRPr="00DC79AC">
        <w:rPr>
          <w:rFonts w:hint="cs"/>
          <w:rtl/>
          <w:lang w:bidi="fa-IR"/>
        </w:rPr>
        <w:t>، شماره 23، تابستان 1377، ص31-55.</w:t>
      </w:r>
    </w:p>
  </w:footnote>
  <w:footnote w:id="68">
    <w:p w:rsidR="00581BA0" w:rsidRPr="00DC79AC" w:rsidRDefault="00581BA0" w:rsidP="007D1685">
      <w:pPr>
        <w:pStyle w:val="FootnoteText"/>
        <w:jc w:val="left"/>
        <w:rPr>
          <w:rFonts w:asciiTheme="minorHAnsi" w:hAnsiTheme="minorHAnsi"/>
          <w:lang w:bidi="fa-IR"/>
        </w:rPr>
      </w:pPr>
      <w:r w:rsidRPr="00DC79AC">
        <w:rPr>
          <w:rStyle w:val="FootnoteReference"/>
          <w:rFonts w:asciiTheme="minorHAnsi" w:hAnsiTheme="minorHAnsi"/>
        </w:rPr>
        <w:footnoteRef/>
      </w:r>
      <w:r w:rsidRPr="00DC79AC">
        <w:rPr>
          <w:rFonts w:asciiTheme="minorHAnsi" w:hAnsiTheme="minorHAnsi"/>
          <w:rtl/>
        </w:rPr>
        <w:t>-</w:t>
      </w:r>
      <w:r w:rsidRPr="00DC79AC">
        <w:rPr>
          <w:rFonts w:asciiTheme="minorHAnsi" w:hAnsiTheme="minorHAnsi"/>
        </w:rPr>
        <w:t xml:space="preserve"> </w:t>
      </w:r>
      <w:r w:rsidRPr="00DC79AC">
        <w:rPr>
          <w:rFonts w:asciiTheme="minorHAnsi" w:hAnsiTheme="minorHAnsi"/>
          <w:lang w:bidi="fa-IR"/>
        </w:rPr>
        <w:t xml:space="preserve">Malurie </w:t>
      </w:r>
    </w:p>
  </w:footnote>
  <w:footnote w:id="69">
    <w:p w:rsidR="00581BA0" w:rsidRPr="00DC79AC" w:rsidRDefault="00581BA0" w:rsidP="006C4FC8">
      <w:pPr>
        <w:pStyle w:val="FootnoteText"/>
        <w:bidi/>
        <w:jc w:val="left"/>
        <w:rPr>
          <w:rFonts w:asciiTheme="minorHAnsi" w:hAnsiTheme="minorHAnsi"/>
          <w:rtl/>
          <w:lang w:bidi="fa-IR"/>
        </w:rPr>
      </w:pPr>
      <w:r w:rsidRPr="00DC79AC">
        <w:rPr>
          <w:rFonts w:asciiTheme="minorHAnsi" w:hAnsiTheme="minorHAnsi"/>
          <w:rtl/>
        </w:rPr>
        <w:t xml:space="preserve">69- </w:t>
      </w:r>
      <w:r w:rsidRPr="00DC79AC">
        <w:rPr>
          <w:rFonts w:asciiTheme="minorHAnsi" w:hAnsiTheme="minorHAnsi"/>
          <w:rtl/>
          <w:lang w:bidi="fa-IR"/>
        </w:rPr>
        <w:t xml:space="preserve">محمدزاده، رضا، </w:t>
      </w:r>
      <w:r w:rsidRPr="00DC79AC">
        <w:rPr>
          <w:rFonts w:asciiTheme="minorHAnsi" w:hAnsiTheme="minorHAnsi"/>
          <w:b/>
          <w:bCs/>
          <w:rtl/>
          <w:lang w:bidi="fa-IR"/>
        </w:rPr>
        <w:t>نظم عمومی در حقوق کیفری</w:t>
      </w:r>
      <w:r w:rsidRPr="00DC79AC">
        <w:rPr>
          <w:rFonts w:asciiTheme="minorHAnsi" w:hAnsiTheme="minorHAnsi"/>
          <w:rtl/>
          <w:lang w:bidi="fa-IR"/>
        </w:rPr>
        <w:t>، پایان‌نامه کارشناسی ارشد، دانشگاه شهید بهشتی، تهران 1377، ص121.</w:t>
      </w:r>
    </w:p>
  </w:footnote>
  <w:footnote w:id="70">
    <w:p w:rsidR="00581BA0" w:rsidRPr="00DC79AC" w:rsidRDefault="00581BA0" w:rsidP="002A4FAF">
      <w:pPr>
        <w:pStyle w:val="FootnoteText"/>
        <w:bidi/>
        <w:jc w:val="left"/>
        <w:rPr>
          <w:rtl/>
          <w:lang w:bidi="fa-IR"/>
        </w:rPr>
      </w:pPr>
      <w:r w:rsidRPr="00DC79AC">
        <w:rPr>
          <w:rFonts w:asciiTheme="minorHAnsi" w:hAnsiTheme="minorHAnsi"/>
          <w:rtl/>
        </w:rPr>
        <w:t xml:space="preserve">70- </w:t>
      </w:r>
      <w:r w:rsidRPr="00DC79AC">
        <w:rPr>
          <w:rFonts w:asciiTheme="minorHAnsi" w:hAnsiTheme="minorHAnsi"/>
          <w:rtl/>
          <w:lang w:bidi="fa-IR"/>
        </w:rPr>
        <w:t xml:space="preserve">ابدالی، مهرزاد، «مطالعه تطبیقی مفاهیم نظم عمومی و اخلاق حسنه در حقوق فرانسه، انگلیس و ایران»، </w:t>
      </w:r>
      <w:r w:rsidRPr="00DC79AC">
        <w:rPr>
          <w:rFonts w:asciiTheme="minorHAnsi" w:hAnsiTheme="minorHAnsi"/>
          <w:b/>
          <w:bCs/>
          <w:rtl/>
          <w:lang w:bidi="fa-IR"/>
        </w:rPr>
        <w:t>پژوهشنامه علوم انسانی</w:t>
      </w:r>
      <w:r w:rsidRPr="00DC79AC">
        <w:rPr>
          <w:rFonts w:asciiTheme="minorHAnsi" w:hAnsiTheme="minorHAnsi"/>
          <w:rtl/>
          <w:lang w:bidi="fa-IR"/>
        </w:rPr>
        <w:t>، دانشگاه بین‌المللی امام خمینی، سال سوم، شماره 1و2، 1385، ص11.</w:t>
      </w:r>
    </w:p>
  </w:footnote>
  <w:footnote w:id="71">
    <w:p w:rsidR="00581BA0" w:rsidRPr="00DC79AC" w:rsidRDefault="00581BA0" w:rsidP="002A4FAF">
      <w:pPr>
        <w:pStyle w:val="FootnoteText"/>
        <w:bidi/>
        <w:jc w:val="left"/>
        <w:rPr>
          <w:rtl/>
          <w:lang w:bidi="fa-IR"/>
        </w:rPr>
      </w:pPr>
      <w:r w:rsidRPr="00DC79AC">
        <w:rPr>
          <w:rFonts w:hint="cs"/>
          <w:rtl/>
        </w:rPr>
        <w:t xml:space="preserve">71- </w:t>
      </w:r>
      <w:r w:rsidRPr="00DC79AC">
        <w:rPr>
          <w:rFonts w:hint="cs"/>
          <w:rtl/>
          <w:lang w:bidi="fa-IR"/>
        </w:rPr>
        <w:t>حبیب‌زاده، محمد جعفر، منبع پیشین، ص31-55.</w:t>
      </w:r>
    </w:p>
  </w:footnote>
  <w:footnote w:id="72">
    <w:p w:rsidR="00581BA0" w:rsidRDefault="00581BA0" w:rsidP="00483B73">
      <w:pPr>
        <w:pStyle w:val="FootnoteText"/>
        <w:bidi/>
        <w:jc w:val="left"/>
        <w:rPr>
          <w:rtl/>
          <w:lang w:bidi="fa-IR"/>
        </w:rPr>
      </w:pPr>
      <w:r w:rsidRPr="00DC79AC">
        <w:rPr>
          <w:rFonts w:hint="cs"/>
          <w:rtl/>
        </w:rPr>
        <w:t xml:space="preserve">72- </w:t>
      </w:r>
      <w:r w:rsidRPr="00DC79AC">
        <w:rPr>
          <w:rFonts w:hint="cs"/>
          <w:rtl/>
          <w:lang w:bidi="fa-IR"/>
        </w:rPr>
        <w:t>غلام‌رضا، مدنیان، دیگران، منبع پیشین، ص 142.</w:t>
      </w:r>
    </w:p>
  </w:footnote>
  <w:footnote w:id="73">
    <w:p w:rsidR="00581BA0" w:rsidRPr="00DC79AC" w:rsidRDefault="00581BA0" w:rsidP="00F171DF">
      <w:pPr>
        <w:pStyle w:val="FootnoteText"/>
        <w:jc w:val="left"/>
        <w:rPr>
          <w:rFonts w:asciiTheme="minorHAnsi" w:hAnsiTheme="minorHAnsi"/>
          <w:rtl/>
          <w:lang w:bidi="fa-IR"/>
        </w:rPr>
      </w:pPr>
      <w:r w:rsidRPr="00DC79AC">
        <w:rPr>
          <w:rStyle w:val="FootnoteReference"/>
          <w:rFonts w:asciiTheme="minorHAnsi" w:hAnsiTheme="minorHAnsi"/>
        </w:rPr>
        <w:footnoteRef/>
      </w:r>
      <w:r w:rsidRPr="00DC79AC">
        <w:rPr>
          <w:rFonts w:asciiTheme="minorHAnsi" w:hAnsiTheme="minorHAnsi"/>
        </w:rPr>
        <w:t xml:space="preserve">- </w:t>
      </w:r>
      <w:r w:rsidRPr="00DC79AC">
        <w:rPr>
          <w:rFonts w:asciiTheme="minorHAnsi" w:hAnsiTheme="minorHAnsi"/>
          <w:lang w:bidi="fa-IR"/>
        </w:rPr>
        <w:t>Walker, M. Divid, The Oxford Companion to Law, Oxford, Clarendon Press, 1980, p783.</w:t>
      </w:r>
    </w:p>
  </w:footnote>
  <w:footnote w:id="74">
    <w:p w:rsidR="00581BA0" w:rsidRPr="00DC79AC" w:rsidRDefault="00581BA0" w:rsidP="00F171DF">
      <w:pPr>
        <w:pStyle w:val="FootnoteText"/>
        <w:jc w:val="left"/>
        <w:rPr>
          <w:rFonts w:asciiTheme="minorHAnsi" w:hAnsiTheme="minorHAnsi"/>
          <w:lang w:bidi="fa-IR"/>
        </w:rPr>
      </w:pPr>
      <w:r w:rsidRPr="00DC79AC">
        <w:rPr>
          <w:rStyle w:val="FootnoteReference"/>
          <w:rFonts w:asciiTheme="minorHAnsi" w:hAnsiTheme="minorHAnsi"/>
        </w:rPr>
        <w:footnoteRef/>
      </w:r>
      <w:r w:rsidRPr="00DC79AC">
        <w:rPr>
          <w:rFonts w:asciiTheme="minorHAnsi" w:hAnsiTheme="minorHAnsi"/>
        </w:rPr>
        <w:t>- Planetey, Alain, Definition et principes de l,order public, PUF,1996, p31.</w:t>
      </w:r>
    </w:p>
  </w:footnote>
  <w:footnote w:id="75">
    <w:p w:rsidR="00581BA0" w:rsidRPr="00DC79AC" w:rsidRDefault="00581BA0" w:rsidP="00B31622">
      <w:pPr>
        <w:pStyle w:val="FootnoteText"/>
        <w:bidi/>
        <w:jc w:val="left"/>
        <w:rPr>
          <w:rtl/>
          <w:lang w:bidi="fa-IR"/>
        </w:rPr>
      </w:pPr>
      <w:r w:rsidRPr="00DC79AC">
        <w:rPr>
          <w:rFonts w:hint="cs"/>
          <w:rtl/>
        </w:rPr>
        <w:t xml:space="preserve">75- </w:t>
      </w:r>
      <w:r w:rsidRPr="00DC79AC">
        <w:rPr>
          <w:rFonts w:hint="cs"/>
          <w:rtl/>
          <w:lang w:bidi="fa-IR"/>
        </w:rPr>
        <w:t>ابدالی، مهرزاد، منبع پیشین، 1385، ص18.</w:t>
      </w:r>
    </w:p>
  </w:footnote>
  <w:footnote w:id="76">
    <w:p w:rsidR="00581BA0" w:rsidRPr="00DC79AC" w:rsidRDefault="00581BA0" w:rsidP="00733194">
      <w:pPr>
        <w:pStyle w:val="FootnoteText"/>
        <w:jc w:val="left"/>
        <w:rPr>
          <w:rFonts w:asciiTheme="minorHAnsi" w:hAnsiTheme="minorHAnsi"/>
          <w:lang w:bidi="fa-IR"/>
        </w:rPr>
      </w:pPr>
      <w:r w:rsidRPr="00DC79AC">
        <w:rPr>
          <w:rStyle w:val="FootnoteReference"/>
          <w:rFonts w:asciiTheme="minorHAnsi" w:hAnsiTheme="minorHAnsi"/>
        </w:rPr>
        <w:footnoteRef/>
      </w:r>
      <w:r w:rsidRPr="00DC79AC">
        <w:rPr>
          <w:rFonts w:asciiTheme="minorHAnsi" w:hAnsiTheme="minorHAnsi"/>
        </w:rPr>
        <w:t xml:space="preserve">- </w:t>
      </w:r>
      <w:r w:rsidRPr="00DC79AC">
        <w:rPr>
          <w:rFonts w:asciiTheme="minorHAnsi" w:hAnsiTheme="minorHAnsi"/>
          <w:rtl/>
          <w:lang w:bidi="fa-IR"/>
        </w:rPr>
        <w:t>‌</w:t>
      </w:r>
      <w:r w:rsidRPr="00DC79AC">
        <w:rPr>
          <w:rFonts w:asciiTheme="minorHAnsi" w:hAnsiTheme="minorHAnsi"/>
          <w:lang w:bidi="fa-IR"/>
        </w:rPr>
        <w:t>Treitel, G.H., The Law of Contract, 5</w:t>
      </w:r>
      <w:r w:rsidRPr="00DC79AC">
        <w:rPr>
          <w:rFonts w:asciiTheme="minorHAnsi" w:hAnsiTheme="minorHAnsi"/>
          <w:vertAlign w:val="superscript"/>
          <w:lang w:bidi="fa-IR"/>
        </w:rPr>
        <w:t xml:space="preserve">th </w:t>
      </w:r>
      <w:r w:rsidRPr="00DC79AC">
        <w:rPr>
          <w:rFonts w:asciiTheme="minorHAnsi" w:hAnsiTheme="minorHAnsi"/>
          <w:lang w:bidi="fa-IR"/>
        </w:rPr>
        <w:t xml:space="preserve"> ed., Clays, 1995, p177-178.</w:t>
      </w:r>
    </w:p>
  </w:footnote>
  <w:footnote w:id="77">
    <w:p w:rsidR="00581BA0" w:rsidRPr="00DC79AC" w:rsidRDefault="00581BA0" w:rsidP="002A4FAF">
      <w:pPr>
        <w:pStyle w:val="FootnoteText"/>
        <w:jc w:val="left"/>
        <w:rPr>
          <w:rFonts w:asciiTheme="minorHAnsi" w:hAnsiTheme="minorHAnsi"/>
          <w:rtl/>
          <w:lang w:bidi="fa-IR"/>
        </w:rPr>
      </w:pPr>
      <w:r w:rsidRPr="00DC79AC">
        <w:rPr>
          <w:rStyle w:val="FootnoteReference"/>
          <w:rFonts w:asciiTheme="minorHAnsi" w:hAnsiTheme="minorHAnsi"/>
        </w:rPr>
        <w:footnoteRef/>
      </w:r>
      <w:r w:rsidRPr="00DC79AC">
        <w:rPr>
          <w:rFonts w:asciiTheme="minorHAnsi" w:hAnsiTheme="minorHAnsi"/>
          <w:rtl/>
        </w:rPr>
        <w:t>-</w:t>
      </w:r>
      <w:r w:rsidRPr="00DC79AC">
        <w:rPr>
          <w:rFonts w:asciiTheme="minorHAnsi" w:hAnsiTheme="minorHAnsi"/>
        </w:rPr>
        <w:t xml:space="preserve"> Anderson, philip, law and morality, 2</w:t>
      </w:r>
      <w:r w:rsidRPr="00DC79AC">
        <w:rPr>
          <w:rFonts w:asciiTheme="minorHAnsi" w:hAnsiTheme="minorHAnsi"/>
          <w:vertAlign w:val="superscript"/>
        </w:rPr>
        <w:t>nd</w:t>
      </w:r>
      <w:r w:rsidRPr="00DC79AC">
        <w:rPr>
          <w:rFonts w:asciiTheme="minorHAnsi" w:hAnsiTheme="minorHAnsi"/>
        </w:rPr>
        <w:t xml:space="preserve"> ed, Oxford University, 2001,p 111.</w:t>
      </w:r>
    </w:p>
  </w:footnote>
  <w:footnote w:id="78">
    <w:p w:rsidR="00581BA0" w:rsidRPr="00DC79AC" w:rsidRDefault="00581BA0" w:rsidP="002A4FAF">
      <w:pPr>
        <w:pStyle w:val="FootnoteText"/>
        <w:jc w:val="left"/>
        <w:rPr>
          <w:rFonts w:asciiTheme="minorHAnsi" w:hAnsiTheme="minorHAnsi"/>
          <w:rtl/>
          <w:lang w:bidi="fa-IR"/>
        </w:rPr>
      </w:pPr>
      <w:r w:rsidRPr="00DC79AC">
        <w:rPr>
          <w:rStyle w:val="FootnoteReference"/>
          <w:rFonts w:asciiTheme="minorHAnsi" w:hAnsiTheme="minorHAnsi"/>
        </w:rPr>
        <w:footnoteRef/>
      </w:r>
      <w:r w:rsidRPr="00DC79AC">
        <w:rPr>
          <w:rFonts w:asciiTheme="minorHAnsi" w:hAnsiTheme="minorHAnsi"/>
          <w:rtl/>
        </w:rPr>
        <w:t>-</w:t>
      </w:r>
      <w:r w:rsidRPr="00DC79AC">
        <w:rPr>
          <w:rFonts w:asciiTheme="minorHAnsi" w:hAnsiTheme="minorHAnsi"/>
        </w:rPr>
        <w:t xml:space="preserve"> </w:t>
      </w:r>
      <w:r w:rsidRPr="00DC79AC">
        <w:rPr>
          <w:rFonts w:asciiTheme="minorHAnsi" w:hAnsiTheme="minorHAnsi"/>
          <w:lang w:bidi="fa-IR"/>
        </w:rPr>
        <w:t>kahan</w:t>
      </w:r>
    </w:p>
  </w:footnote>
  <w:footnote w:id="79">
    <w:p w:rsidR="00581BA0" w:rsidRPr="00DC79AC" w:rsidRDefault="00581BA0" w:rsidP="00A241ED">
      <w:pPr>
        <w:pStyle w:val="FootnoteText"/>
        <w:jc w:val="left"/>
        <w:rPr>
          <w:rFonts w:asciiTheme="minorHAnsi" w:hAnsiTheme="minorHAnsi"/>
          <w:lang w:bidi="fa-IR"/>
        </w:rPr>
      </w:pPr>
      <w:r w:rsidRPr="00DC79AC">
        <w:rPr>
          <w:rStyle w:val="FootnoteReference"/>
          <w:rFonts w:asciiTheme="minorHAnsi" w:hAnsiTheme="minorHAnsi"/>
        </w:rPr>
        <w:footnoteRef/>
      </w:r>
      <w:r w:rsidRPr="00DC79AC">
        <w:rPr>
          <w:rFonts w:asciiTheme="minorHAnsi" w:hAnsiTheme="minorHAnsi"/>
          <w:rtl/>
        </w:rPr>
        <w:t>-</w:t>
      </w:r>
      <w:r w:rsidRPr="00DC79AC">
        <w:rPr>
          <w:rFonts w:asciiTheme="minorHAnsi" w:hAnsiTheme="minorHAnsi"/>
          <w:lang w:bidi="fa-IR"/>
        </w:rPr>
        <w:t xml:space="preserve"> Ibid. pp 88-89.</w:t>
      </w:r>
    </w:p>
  </w:footnote>
  <w:footnote w:id="80">
    <w:p w:rsidR="00581BA0" w:rsidRDefault="00581BA0" w:rsidP="002A4FAF">
      <w:pPr>
        <w:pStyle w:val="FootnoteText"/>
        <w:jc w:val="left"/>
        <w:rPr>
          <w:lang w:bidi="fa-IR"/>
        </w:rPr>
      </w:pPr>
      <w:r w:rsidRPr="00DC79AC">
        <w:rPr>
          <w:rStyle w:val="FootnoteReference"/>
          <w:rFonts w:asciiTheme="minorHAnsi" w:hAnsiTheme="minorHAnsi"/>
        </w:rPr>
        <w:footnoteRef/>
      </w:r>
      <w:r w:rsidRPr="00DC79AC">
        <w:rPr>
          <w:rFonts w:asciiTheme="minorHAnsi" w:hAnsiTheme="minorHAnsi"/>
          <w:rtl/>
        </w:rPr>
        <w:t>-</w:t>
      </w:r>
      <w:r w:rsidRPr="00DC79AC">
        <w:rPr>
          <w:rFonts w:asciiTheme="minorHAnsi" w:hAnsiTheme="minorHAnsi"/>
        </w:rPr>
        <w:t xml:space="preserve"> Healy</w:t>
      </w:r>
    </w:p>
  </w:footnote>
  <w:footnote w:id="81">
    <w:p w:rsidR="00581BA0" w:rsidRPr="006E24C6" w:rsidRDefault="00581BA0" w:rsidP="00A241ED">
      <w:pPr>
        <w:pStyle w:val="FootnoteText"/>
        <w:bidi/>
        <w:jc w:val="both"/>
        <w:rPr>
          <w:rFonts w:asciiTheme="minorHAnsi" w:hAnsiTheme="minorHAnsi"/>
          <w:lang w:bidi="fa-IR"/>
        </w:rPr>
      </w:pPr>
      <w:r w:rsidRPr="006E24C6">
        <w:rPr>
          <w:rFonts w:asciiTheme="minorHAnsi" w:hAnsiTheme="minorHAnsi"/>
          <w:rtl/>
          <w:lang w:bidi="fa-IR"/>
        </w:rPr>
        <w:t>81</w:t>
      </w:r>
      <w:r w:rsidRPr="006E24C6">
        <w:rPr>
          <w:rFonts w:asciiTheme="minorHAnsi" w:hAnsiTheme="minorHAnsi"/>
          <w:rtl/>
        </w:rPr>
        <w:t xml:space="preserve">- </w:t>
      </w:r>
      <w:r w:rsidRPr="006E24C6">
        <w:rPr>
          <w:rFonts w:asciiTheme="minorHAnsi" w:hAnsiTheme="minorHAnsi"/>
          <w:rtl/>
          <w:lang w:bidi="fa-IR"/>
        </w:rPr>
        <w:t xml:space="preserve">ساکت، محمدحسین، </w:t>
      </w:r>
      <w:r w:rsidRPr="006E24C6">
        <w:rPr>
          <w:rFonts w:asciiTheme="minorHAnsi" w:hAnsiTheme="minorHAnsi"/>
          <w:b/>
          <w:bCs/>
          <w:rtl/>
          <w:lang w:bidi="fa-IR"/>
        </w:rPr>
        <w:t>حقوق‌شناسی یا دیباچه‌ای بر دانش حقوق</w:t>
      </w:r>
      <w:r w:rsidRPr="006E24C6">
        <w:rPr>
          <w:rFonts w:asciiTheme="minorHAnsi" w:hAnsiTheme="minorHAnsi"/>
          <w:rtl/>
          <w:lang w:bidi="fa-IR"/>
        </w:rPr>
        <w:t>، انتشارات ترجمه و نشر نخست، 1371، مشهد، صص454-455.</w:t>
      </w:r>
    </w:p>
  </w:footnote>
  <w:footnote w:id="82">
    <w:p w:rsidR="00581BA0" w:rsidRPr="006E24C6" w:rsidRDefault="00581BA0" w:rsidP="002A4FAF">
      <w:pPr>
        <w:pStyle w:val="FootnoteText"/>
        <w:jc w:val="left"/>
        <w:rPr>
          <w:rFonts w:asciiTheme="minorHAnsi" w:hAnsiTheme="minorHAnsi"/>
          <w:rtl/>
          <w:lang w:bidi="fa-IR"/>
        </w:rPr>
      </w:pPr>
      <w:r w:rsidRPr="006E24C6">
        <w:rPr>
          <w:rStyle w:val="FootnoteReference"/>
          <w:rFonts w:asciiTheme="minorHAnsi" w:hAnsiTheme="minorHAnsi"/>
        </w:rPr>
        <w:footnoteRef/>
      </w:r>
      <w:r w:rsidRPr="006E24C6">
        <w:rPr>
          <w:rFonts w:asciiTheme="minorHAnsi" w:hAnsiTheme="minorHAnsi"/>
          <w:rtl/>
        </w:rPr>
        <w:t>-</w:t>
      </w:r>
      <w:r w:rsidRPr="006E24C6">
        <w:rPr>
          <w:rFonts w:asciiTheme="minorHAnsi" w:hAnsiTheme="minorHAnsi"/>
        </w:rPr>
        <w:t xml:space="preserve"> </w:t>
      </w:r>
      <w:r w:rsidRPr="006E24C6">
        <w:rPr>
          <w:rFonts w:asciiTheme="minorHAnsi" w:hAnsiTheme="minorHAnsi"/>
          <w:lang w:bidi="fa-IR"/>
        </w:rPr>
        <w:t xml:space="preserve">Peyeer </w:t>
      </w:r>
    </w:p>
  </w:footnote>
  <w:footnote w:id="83">
    <w:p w:rsidR="00581BA0" w:rsidRPr="006E24C6" w:rsidRDefault="00581BA0" w:rsidP="003E046F">
      <w:pPr>
        <w:pStyle w:val="FootnoteText"/>
        <w:bidi/>
        <w:jc w:val="left"/>
        <w:rPr>
          <w:lang w:bidi="fa-IR"/>
        </w:rPr>
      </w:pPr>
      <w:r w:rsidRPr="006E24C6">
        <w:rPr>
          <w:rFonts w:hint="cs"/>
          <w:rtl/>
        </w:rPr>
        <w:t xml:space="preserve">83- </w:t>
      </w:r>
      <w:r w:rsidRPr="006E24C6">
        <w:rPr>
          <w:rtl/>
          <w:lang w:bidi="fa-IR"/>
        </w:rPr>
        <w:t xml:space="preserve">ابدالی، مهرزاد، </w:t>
      </w:r>
      <w:r w:rsidRPr="006E24C6">
        <w:rPr>
          <w:rFonts w:hint="cs"/>
          <w:rtl/>
          <w:lang w:bidi="fa-IR"/>
        </w:rPr>
        <w:t>منبع پیشین</w:t>
      </w:r>
      <w:r w:rsidRPr="006E24C6">
        <w:rPr>
          <w:rtl/>
          <w:lang w:bidi="fa-IR"/>
        </w:rPr>
        <w:t>،</w:t>
      </w:r>
      <w:r w:rsidRPr="006E24C6">
        <w:rPr>
          <w:rFonts w:hint="cs"/>
          <w:rtl/>
          <w:lang w:bidi="fa-IR"/>
        </w:rPr>
        <w:t xml:space="preserve"> </w:t>
      </w:r>
      <w:r w:rsidRPr="006E24C6">
        <w:rPr>
          <w:rtl/>
          <w:lang w:bidi="fa-IR"/>
        </w:rPr>
        <w:t>ص11.</w:t>
      </w:r>
    </w:p>
  </w:footnote>
  <w:footnote w:id="84">
    <w:p w:rsidR="00581BA0" w:rsidRPr="006E24C6" w:rsidRDefault="00581BA0" w:rsidP="005E44FD">
      <w:pPr>
        <w:pStyle w:val="FootnoteText"/>
        <w:bidi/>
        <w:jc w:val="left"/>
        <w:rPr>
          <w:rtl/>
          <w:lang w:bidi="fa-IR"/>
        </w:rPr>
      </w:pPr>
      <w:r w:rsidRPr="006E24C6">
        <w:rPr>
          <w:rFonts w:hint="cs"/>
          <w:rtl/>
        </w:rPr>
        <w:t xml:space="preserve">84- </w:t>
      </w:r>
      <w:r w:rsidRPr="006E24C6">
        <w:rPr>
          <w:rFonts w:hint="cs"/>
          <w:rtl/>
          <w:lang w:bidi="fa-IR"/>
        </w:rPr>
        <w:t xml:space="preserve">جعفری لنگرودی، محمد جعفر، </w:t>
      </w:r>
      <w:r w:rsidRPr="006E24C6">
        <w:rPr>
          <w:rFonts w:hint="cs"/>
          <w:b/>
          <w:bCs/>
          <w:rtl/>
          <w:lang w:bidi="fa-IR"/>
        </w:rPr>
        <w:t>علم حقوق در گذر تاریخ</w:t>
      </w:r>
      <w:r w:rsidRPr="006E24C6">
        <w:rPr>
          <w:rFonts w:hint="cs"/>
          <w:rtl/>
          <w:lang w:bidi="fa-IR"/>
        </w:rPr>
        <w:t>، انتشارات گنج دانش، 1387، تهران، ص191.</w:t>
      </w:r>
    </w:p>
  </w:footnote>
  <w:footnote w:id="85">
    <w:p w:rsidR="00581BA0" w:rsidRDefault="00581BA0" w:rsidP="00E7479D">
      <w:pPr>
        <w:pStyle w:val="FootnoteText"/>
        <w:bidi/>
        <w:jc w:val="left"/>
        <w:rPr>
          <w:rtl/>
          <w:lang w:bidi="fa-IR"/>
        </w:rPr>
      </w:pPr>
      <w:r w:rsidRPr="006E24C6">
        <w:rPr>
          <w:rFonts w:hint="cs"/>
          <w:rtl/>
        </w:rPr>
        <w:t>85</w:t>
      </w:r>
      <w:r w:rsidRPr="006E24C6">
        <w:rPr>
          <w:rFonts w:hint="cs"/>
          <w:rtl/>
          <w:lang w:bidi="fa-IR"/>
        </w:rPr>
        <w:t xml:space="preserve">- صادقی، محسن، «مفهوم و اعمال نظم عمومی در مراجع قضایی و شبه قضایی و جلوه‌های نوین آن»، </w:t>
      </w:r>
      <w:r w:rsidRPr="006E24C6">
        <w:rPr>
          <w:rFonts w:hint="cs"/>
          <w:b/>
          <w:bCs/>
          <w:rtl/>
          <w:lang w:bidi="fa-IR"/>
        </w:rPr>
        <w:t>فصلنامه دانشکده حقوق و علوم سیاسی</w:t>
      </w:r>
      <w:r w:rsidRPr="006E24C6">
        <w:rPr>
          <w:rFonts w:hint="cs"/>
          <w:rtl/>
          <w:lang w:bidi="fa-IR"/>
        </w:rPr>
        <w:t>، شماره 68، دانشگاه تهران، 1384، ص92.</w:t>
      </w:r>
    </w:p>
  </w:footnote>
  <w:footnote w:id="86">
    <w:p w:rsidR="00581BA0" w:rsidRPr="006E24C6" w:rsidRDefault="00581BA0" w:rsidP="005E44FD">
      <w:pPr>
        <w:pStyle w:val="FootnoteText"/>
        <w:bidi/>
        <w:jc w:val="left"/>
        <w:rPr>
          <w:rtl/>
          <w:lang w:bidi="fa-IR"/>
        </w:rPr>
      </w:pPr>
      <w:r w:rsidRPr="006E24C6">
        <w:rPr>
          <w:rFonts w:hint="cs"/>
          <w:rtl/>
        </w:rPr>
        <w:t xml:space="preserve">86- کاتوزیان، ناصر، </w:t>
      </w:r>
      <w:r w:rsidRPr="006E24C6">
        <w:rPr>
          <w:rFonts w:hint="cs"/>
          <w:b/>
          <w:bCs/>
          <w:rtl/>
        </w:rPr>
        <w:t>قواعد عمومی قراردادها</w:t>
      </w:r>
      <w:r w:rsidRPr="006E24C6">
        <w:rPr>
          <w:rFonts w:hint="cs"/>
          <w:rtl/>
        </w:rPr>
        <w:t>، چاپ چهارم، شرکت سهامی انتشار، 1376، تهران، ص161.</w:t>
      </w:r>
    </w:p>
  </w:footnote>
  <w:footnote w:id="87">
    <w:p w:rsidR="00581BA0" w:rsidRPr="006E24C6" w:rsidRDefault="00581BA0" w:rsidP="00AA7C20">
      <w:pPr>
        <w:pStyle w:val="FootnoteText"/>
        <w:bidi/>
        <w:jc w:val="left"/>
        <w:rPr>
          <w:rtl/>
          <w:lang w:bidi="fa-IR"/>
        </w:rPr>
      </w:pPr>
      <w:r w:rsidRPr="006E24C6">
        <w:rPr>
          <w:rFonts w:hint="cs"/>
          <w:rtl/>
        </w:rPr>
        <w:t xml:space="preserve">87- </w:t>
      </w:r>
      <w:r w:rsidRPr="006E24C6">
        <w:rPr>
          <w:rFonts w:hint="cs"/>
          <w:rtl/>
          <w:lang w:bidi="fa-IR"/>
        </w:rPr>
        <w:t>احمدی واستانی، منبع پیشین، شماره 55.</w:t>
      </w:r>
    </w:p>
  </w:footnote>
  <w:footnote w:id="88">
    <w:p w:rsidR="00581BA0" w:rsidRPr="006E24C6" w:rsidRDefault="00581BA0" w:rsidP="00FE0A6F">
      <w:pPr>
        <w:pStyle w:val="FootnoteText"/>
        <w:bidi/>
        <w:jc w:val="left"/>
        <w:rPr>
          <w:rtl/>
          <w:lang w:bidi="fa-IR"/>
        </w:rPr>
      </w:pPr>
      <w:r w:rsidRPr="006E24C6">
        <w:rPr>
          <w:rFonts w:hint="cs"/>
          <w:rtl/>
        </w:rPr>
        <w:t xml:space="preserve">88- </w:t>
      </w:r>
      <w:r w:rsidRPr="006E24C6">
        <w:rPr>
          <w:rFonts w:hint="cs"/>
          <w:rtl/>
          <w:lang w:bidi="fa-IR"/>
        </w:rPr>
        <w:t>برای مثال ماده 163 ق.م. اردن به جای تعریف، تنها به ذکر مصادیقی ازنظم عمومی بسنده کرده و ماده 975 ق.م. ایران نیز هیچ تعریف و مصداقی از آن ارائه نداده است.</w:t>
      </w:r>
    </w:p>
  </w:footnote>
  <w:footnote w:id="89">
    <w:p w:rsidR="00581BA0" w:rsidRDefault="00581BA0" w:rsidP="00907140">
      <w:pPr>
        <w:pStyle w:val="FootnoteText"/>
        <w:bidi/>
        <w:jc w:val="left"/>
        <w:rPr>
          <w:rtl/>
          <w:lang w:bidi="fa-IR"/>
        </w:rPr>
      </w:pPr>
      <w:r w:rsidRPr="006E24C6">
        <w:rPr>
          <w:rFonts w:hint="cs"/>
          <w:rtl/>
        </w:rPr>
        <w:t xml:space="preserve">89- </w:t>
      </w:r>
      <w:r w:rsidRPr="006E24C6">
        <w:rPr>
          <w:rFonts w:hint="cs"/>
          <w:rtl/>
          <w:lang w:bidi="fa-IR"/>
        </w:rPr>
        <w:t>صادقی، محسن،منبع پیشین ، ص91.</w:t>
      </w:r>
    </w:p>
  </w:footnote>
  <w:footnote w:id="90">
    <w:p w:rsidR="00581BA0" w:rsidRPr="009308A0" w:rsidRDefault="00581BA0" w:rsidP="009308A0">
      <w:pPr>
        <w:pStyle w:val="FootnoteText"/>
        <w:bidi/>
        <w:jc w:val="left"/>
        <w:rPr>
          <w:rFonts w:asciiTheme="minorHAnsi" w:hAnsiTheme="minorHAnsi"/>
          <w:rtl/>
          <w:lang w:bidi="fa-IR"/>
        </w:rPr>
      </w:pPr>
      <w:r w:rsidRPr="009308A0">
        <w:rPr>
          <w:rFonts w:asciiTheme="minorHAnsi" w:hAnsiTheme="minorHAnsi"/>
          <w:rtl/>
        </w:rPr>
        <w:t xml:space="preserve">90- </w:t>
      </w:r>
      <w:r w:rsidRPr="009308A0">
        <w:rPr>
          <w:rFonts w:asciiTheme="minorHAnsi" w:hAnsiTheme="minorHAnsi"/>
          <w:rtl/>
          <w:lang w:bidi="fa-IR"/>
        </w:rPr>
        <w:t xml:space="preserve">ارکلش ویلی، الکساندر، «تأثیر قواعد آمره حقوق بین الملل بر تفسیر و اجرای قطعنامه های شورای امنیت»، ترجمه دکتر سید قاسم زمانی، </w:t>
      </w:r>
      <w:r w:rsidRPr="009308A0">
        <w:rPr>
          <w:rFonts w:asciiTheme="minorHAnsi" w:hAnsiTheme="minorHAnsi"/>
          <w:b/>
          <w:bCs/>
          <w:rtl/>
          <w:lang w:bidi="fa-IR"/>
        </w:rPr>
        <w:t>مجله پژوهش</w:t>
      </w:r>
      <w:r w:rsidRPr="009308A0">
        <w:rPr>
          <w:rFonts w:asciiTheme="minorHAnsi" w:hAnsiTheme="minorHAnsi"/>
          <w:b/>
          <w:bCs/>
          <w:rtl/>
          <w:lang w:bidi="fa-IR"/>
        </w:rPr>
        <w:softHyphen/>
        <w:t>های حقوقی</w:t>
      </w:r>
      <w:r w:rsidRPr="009308A0">
        <w:rPr>
          <w:rFonts w:asciiTheme="minorHAnsi" w:hAnsiTheme="minorHAnsi"/>
          <w:rtl/>
          <w:lang w:bidi="fa-IR"/>
        </w:rPr>
        <w:t>،</w:t>
      </w:r>
      <w:r>
        <w:rPr>
          <w:rFonts w:asciiTheme="minorHAnsi" w:hAnsiTheme="minorHAnsi"/>
          <w:rtl/>
          <w:lang w:bidi="fa-IR"/>
        </w:rPr>
        <w:t xml:space="preserve"> سال 4، شماره 7، تهران 1384، ص2</w:t>
      </w:r>
      <w:r>
        <w:rPr>
          <w:rFonts w:asciiTheme="minorHAnsi" w:hAnsiTheme="minorHAnsi" w:hint="cs"/>
          <w:rtl/>
          <w:lang w:bidi="fa-IR"/>
        </w:rPr>
        <w:t>4.</w:t>
      </w:r>
    </w:p>
  </w:footnote>
  <w:footnote w:id="91">
    <w:p w:rsidR="00581BA0" w:rsidRPr="009308A0" w:rsidRDefault="00581BA0" w:rsidP="00FE0A6F">
      <w:pPr>
        <w:pStyle w:val="FootnoteText"/>
        <w:bidi/>
        <w:jc w:val="left"/>
        <w:rPr>
          <w:rFonts w:asciiTheme="minorHAnsi" w:hAnsiTheme="minorHAnsi"/>
          <w:rtl/>
          <w:lang w:bidi="fa-IR"/>
        </w:rPr>
      </w:pPr>
      <w:r w:rsidRPr="009308A0">
        <w:rPr>
          <w:rFonts w:asciiTheme="minorHAnsi" w:hAnsiTheme="minorHAnsi"/>
          <w:rtl/>
        </w:rPr>
        <w:t xml:space="preserve">91- </w:t>
      </w:r>
      <w:r w:rsidRPr="009308A0">
        <w:rPr>
          <w:rFonts w:asciiTheme="minorHAnsi" w:hAnsiTheme="minorHAnsi"/>
          <w:rtl/>
          <w:lang w:bidi="fa-IR"/>
        </w:rPr>
        <w:t>صادقی،محسن، همان، ص90.</w:t>
      </w:r>
    </w:p>
  </w:footnote>
  <w:footnote w:id="92">
    <w:p w:rsidR="00581BA0" w:rsidRDefault="00581BA0" w:rsidP="00460683">
      <w:pPr>
        <w:pStyle w:val="FootnoteText"/>
        <w:bidi/>
        <w:jc w:val="left"/>
        <w:rPr>
          <w:rtl/>
          <w:lang w:bidi="fa-IR"/>
        </w:rPr>
      </w:pPr>
      <w:r w:rsidRPr="009308A0">
        <w:rPr>
          <w:rFonts w:asciiTheme="minorHAnsi" w:hAnsiTheme="minorHAnsi"/>
          <w:rtl/>
        </w:rPr>
        <w:t>92-</w:t>
      </w:r>
      <w:r w:rsidRPr="009308A0">
        <w:rPr>
          <w:rFonts w:asciiTheme="minorHAnsi" w:hAnsiTheme="minorHAnsi"/>
          <w:rtl/>
          <w:lang w:bidi="fa-IR"/>
        </w:rPr>
        <w:t xml:space="preserve"> مدنیان، غلام‌رضا، دیگران، منبع پیشین، ص134.</w:t>
      </w:r>
    </w:p>
  </w:footnote>
  <w:footnote w:id="93">
    <w:p w:rsidR="00581BA0" w:rsidRPr="006E24C6" w:rsidRDefault="00581BA0" w:rsidP="00AA7C20">
      <w:pPr>
        <w:pStyle w:val="FootnoteText"/>
        <w:bidi/>
        <w:jc w:val="left"/>
        <w:rPr>
          <w:rtl/>
          <w:lang w:bidi="fa-IR"/>
        </w:rPr>
      </w:pPr>
      <w:r w:rsidRPr="006E24C6">
        <w:rPr>
          <w:rFonts w:hint="cs"/>
          <w:rtl/>
        </w:rPr>
        <w:t xml:space="preserve">93- </w:t>
      </w:r>
      <w:r w:rsidRPr="006E24C6">
        <w:rPr>
          <w:rFonts w:hint="cs"/>
          <w:rtl/>
          <w:lang w:bidi="fa-IR"/>
        </w:rPr>
        <w:t xml:space="preserve">غمامی، محمد مهدی، «مطالعه تطبیقی نظم عمومی و خط‌ مشی عمومی در نظام‌های حقوقی موضوعه و آنگلوساکسون»، </w:t>
      </w:r>
      <w:r w:rsidRPr="006E24C6">
        <w:rPr>
          <w:rFonts w:hint="cs"/>
          <w:b/>
          <w:bCs/>
          <w:rtl/>
          <w:lang w:bidi="fa-IR"/>
        </w:rPr>
        <w:t>پژوهشنامه حقوق</w:t>
      </w:r>
      <w:r w:rsidRPr="006E24C6">
        <w:rPr>
          <w:rFonts w:hint="cs"/>
          <w:rtl/>
          <w:lang w:bidi="fa-IR"/>
        </w:rPr>
        <w:t xml:space="preserve"> </w:t>
      </w:r>
      <w:r w:rsidRPr="006E24C6">
        <w:rPr>
          <w:rFonts w:hint="cs"/>
          <w:b/>
          <w:bCs/>
          <w:rtl/>
          <w:lang w:bidi="fa-IR"/>
        </w:rPr>
        <w:t>اسلامی</w:t>
      </w:r>
      <w:r w:rsidRPr="006E24C6">
        <w:rPr>
          <w:rFonts w:hint="cs"/>
          <w:rtl/>
          <w:lang w:bidi="fa-IR"/>
        </w:rPr>
        <w:t>، شماره 37، دانشگاه امام صادق، تهران 1392، ص136.</w:t>
      </w:r>
    </w:p>
  </w:footnote>
  <w:footnote w:id="94">
    <w:p w:rsidR="00581BA0" w:rsidRDefault="00581BA0" w:rsidP="00460683">
      <w:pPr>
        <w:pStyle w:val="FootnoteText"/>
        <w:bidi/>
        <w:jc w:val="left"/>
        <w:rPr>
          <w:rtl/>
          <w:lang w:bidi="fa-IR"/>
        </w:rPr>
      </w:pPr>
      <w:r w:rsidRPr="006E24C6">
        <w:rPr>
          <w:rFonts w:hint="cs"/>
          <w:rtl/>
        </w:rPr>
        <w:t>94-</w:t>
      </w:r>
      <w:r w:rsidRPr="006E24C6">
        <w:rPr>
          <w:rFonts w:hint="cs"/>
          <w:rtl/>
          <w:lang w:bidi="fa-IR"/>
        </w:rPr>
        <w:t xml:space="preserve"> مدنیان، غلام‌رضا، دیگران، منبع پیشین، ص150.</w:t>
      </w:r>
    </w:p>
  </w:footnote>
  <w:footnote w:id="95">
    <w:p w:rsidR="00581BA0" w:rsidRDefault="00581BA0" w:rsidP="00F15703">
      <w:pPr>
        <w:pStyle w:val="FootnoteText"/>
        <w:bidi/>
        <w:jc w:val="both"/>
        <w:rPr>
          <w:rtl/>
          <w:lang w:bidi="fa-IR"/>
        </w:rPr>
      </w:pPr>
      <w:r>
        <w:rPr>
          <w:rFonts w:hint="cs"/>
          <w:rtl/>
        </w:rPr>
        <w:t xml:space="preserve">95- </w:t>
      </w:r>
      <w:r w:rsidRPr="00B121B7">
        <w:rPr>
          <w:rFonts w:hint="cs"/>
          <w:rtl/>
        </w:rPr>
        <w:t xml:space="preserve">ایرانشاهی، علی‌رضا، «بررسی معیار نظم عمومی»، </w:t>
      </w:r>
      <w:r w:rsidRPr="00F15703">
        <w:rPr>
          <w:rFonts w:hint="cs"/>
          <w:b/>
          <w:bCs/>
          <w:rtl/>
        </w:rPr>
        <w:t>مجله حقوقی بین‌المللی</w:t>
      </w:r>
      <w:r w:rsidRPr="00B121B7">
        <w:rPr>
          <w:rFonts w:hint="cs"/>
          <w:rtl/>
        </w:rPr>
        <w:t>، شماره 44، تهران،</w:t>
      </w:r>
      <w:r>
        <w:rPr>
          <w:rFonts w:hint="cs"/>
          <w:rtl/>
        </w:rPr>
        <w:t>1390، ص76.</w:t>
      </w:r>
    </w:p>
  </w:footnote>
  <w:footnote w:id="96">
    <w:p w:rsidR="00581BA0" w:rsidRDefault="00581BA0" w:rsidP="00F15703">
      <w:pPr>
        <w:pStyle w:val="FootnoteText"/>
        <w:bidi/>
        <w:jc w:val="both"/>
        <w:rPr>
          <w:rtl/>
          <w:lang w:bidi="fa-IR"/>
        </w:rPr>
      </w:pPr>
      <w:r>
        <w:rPr>
          <w:rFonts w:hint="cs"/>
          <w:rtl/>
          <w:lang w:bidi="fa-IR"/>
        </w:rPr>
        <w:t>96- همان، ص77.</w:t>
      </w:r>
    </w:p>
  </w:footnote>
  <w:footnote w:id="97">
    <w:p w:rsidR="00581BA0" w:rsidRPr="006E24C6" w:rsidRDefault="00581BA0" w:rsidP="00B055F8">
      <w:pPr>
        <w:pStyle w:val="FootnoteText"/>
        <w:bidi/>
        <w:jc w:val="left"/>
        <w:rPr>
          <w:rtl/>
          <w:lang w:bidi="fa-IR"/>
        </w:rPr>
      </w:pPr>
      <w:r>
        <w:rPr>
          <w:rFonts w:hint="cs"/>
          <w:rtl/>
        </w:rPr>
        <w:t>97</w:t>
      </w:r>
      <w:r w:rsidRPr="006E24C6">
        <w:rPr>
          <w:rFonts w:hint="cs"/>
          <w:rtl/>
        </w:rPr>
        <w:t xml:space="preserve">- الماسی، نجادعلی، ص183.؛ ایرانشاهی، علی‌رضا، «بررسی معیار نظم عمومی» ، </w:t>
      </w:r>
      <w:r w:rsidRPr="006E24C6">
        <w:rPr>
          <w:rFonts w:hint="cs"/>
          <w:b/>
          <w:bCs/>
          <w:rtl/>
        </w:rPr>
        <w:t>مجله حقوقی بین‌المللی</w:t>
      </w:r>
      <w:r w:rsidRPr="006E24C6">
        <w:rPr>
          <w:rFonts w:hint="cs"/>
          <w:rtl/>
        </w:rPr>
        <w:t>، شماره 44، تهران،1390، ص86.</w:t>
      </w:r>
    </w:p>
  </w:footnote>
  <w:footnote w:id="98">
    <w:p w:rsidR="00581BA0" w:rsidRDefault="00581BA0" w:rsidP="00B055F8">
      <w:pPr>
        <w:pStyle w:val="FootnoteText"/>
        <w:bidi/>
        <w:jc w:val="left"/>
        <w:rPr>
          <w:rtl/>
          <w:lang w:bidi="fa-IR"/>
        </w:rPr>
      </w:pPr>
      <w:r>
        <w:rPr>
          <w:rFonts w:hint="cs"/>
          <w:rtl/>
        </w:rPr>
        <w:t>98</w:t>
      </w:r>
      <w:r w:rsidRPr="006E24C6">
        <w:rPr>
          <w:rFonts w:hint="cs"/>
          <w:rtl/>
        </w:rPr>
        <w:t xml:space="preserve">- </w:t>
      </w:r>
      <w:r w:rsidRPr="006E24C6">
        <w:rPr>
          <w:rFonts w:hint="cs"/>
          <w:rtl/>
          <w:lang w:bidi="fa-IR"/>
        </w:rPr>
        <w:t xml:space="preserve">بنی‌هاشمی، پگاه، </w:t>
      </w:r>
      <w:r w:rsidRPr="006E24C6">
        <w:rPr>
          <w:rFonts w:hint="cs"/>
          <w:b/>
          <w:bCs/>
          <w:rtl/>
          <w:lang w:bidi="fa-IR"/>
        </w:rPr>
        <w:t>موانع شناسایی و اجرای آرای خارجی و بین‌المللی در ایران</w:t>
      </w:r>
      <w:r w:rsidRPr="006E24C6">
        <w:rPr>
          <w:rFonts w:hint="cs"/>
          <w:rtl/>
          <w:lang w:bidi="fa-IR"/>
        </w:rPr>
        <w:t>، کارشناسی ارشد حقوق تجارت بین‌الملل، دانشگاه شهید بهشتی، 1389، ص117.</w:t>
      </w:r>
    </w:p>
  </w:footnote>
  <w:footnote w:id="99">
    <w:p w:rsidR="00581BA0" w:rsidRPr="006E24C6" w:rsidRDefault="00581BA0" w:rsidP="00B055F8">
      <w:pPr>
        <w:pStyle w:val="FootnoteText"/>
        <w:bidi/>
        <w:jc w:val="both"/>
        <w:rPr>
          <w:rtl/>
          <w:lang w:bidi="fa-IR"/>
        </w:rPr>
      </w:pPr>
      <w:r w:rsidRPr="006E24C6">
        <w:rPr>
          <w:rFonts w:hint="cs"/>
          <w:rtl/>
        </w:rPr>
        <w:t>9</w:t>
      </w:r>
      <w:r>
        <w:rPr>
          <w:rFonts w:hint="cs"/>
          <w:rtl/>
        </w:rPr>
        <w:t>9</w:t>
      </w:r>
      <w:r w:rsidRPr="006E24C6">
        <w:rPr>
          <w:rFonts w:hint="cs"/>
          <w:rtl/>
        </w:rPr>
        <w:t xml:space="preserve">- </w:t>
      </w:r>
      <w:r w:rsidRPr="006E24C6">
        <w:rPr>
          <w:rFonts w:hint="cs"/>
          <w:rtl/>
          <w:lang w:bidi="fa-IR"/>
        </w:rPr>
        <w:t xml:space="preserve">نصیری، مرتضی، </w:t>
      </w:r>
      <w:r w:rsidRPr="006E24C6">
        <w:rPr>
          <w:rFonts w:hint="cs"/>
          <w:b/>
          <w:bCs/>
          <w:rtl/>
          <w:lang w:bidi="fa-IR"/>
        </w:rPr>
        <w:t>حقوق چند ملیتی</w:t>
      </w:r>
      <w:r w:rsidRPr="006E24C6">
        <w:rPr>
          <w:rFonts w:hint="cs"/>
          <w:rtl/>
          <w:lang w:bidi="fa-IR"/>
        </w:rPr>
        <w:t xml:space="preserve">، نشر دانش امروز، 1370، تهران، ص183؛ الماسی، نجادعلی، </w:t>
      </w:r>
      <w:r w:rsidRPr="006E24C6">
        <w:rPr>
          <w:rFonts w:hint="cs"/>
          <w:b/>
          <w:bCs/>
          <w:rtl/>
          <w:lang w:bidi="fa-IR"/>
        </w:rPr>
        <w:t>حقوق بین‌الملل خصوصی</w:t>
      </w:r>
      <w:r w:rsidRPr="006E24C6">
        <w:rPr>
          <w:rFonts w:hint="cs"/>
          <w:rtl/>
          <w:lang w:bidi="fa-IR"/>
        </w:rPr>
        <w:t xml:space="preserve">، نشر میزان، 1385، تهران، ص183؛ درن، ایو، «نظم عمومی و حقوق قابل اجرا در ماهیت دعوی در داوری بین‌المللی»، ترجمه و تلخیص محمد اشتری، </w:t>
      </w:r>
      <w:r w:rsidRPr="006E24C6">
        <w:rPr>
          <w:rFonts w:hint="cs"/>
          <w:b/>
          <w:bCs/>
          <w:rtl/>
          <w:lang w:bidi="fa-IR"/>
        </w:rPr>
        <w:t>مجله حقوقی بین‌المللی</w:t>
      </w:r>
      <w:r w:rsidRPr="006E24C6">
        <w:rPr>
          <w:rFonts w:hint="cs"/>
          <w:rtl/>
          <w:lang w:bidi="fa-IR"/>
        </w:rPr>
        <w:t>، شماره 9، تهران 1369، ص69.</w:t>
      </w:r>
    </w:p>
  </w:footnote>
  <w:footnote w:id="100">
    <w:p w:rsidR="00581BA0" w:rsidRPr="006E24C6" w:rsidRDefault="00581BA0" w:rsidP="00BB2898">
      <w:pPr>
        <w:pStyle w:val="FootnoteText"/>
        <w:jc w:val="left"/>
        <w:rPr>
          <w:rFonts w:asciiTheme="minorHAnsi" w:hAnsiTheme="minorHAnsi"/>
          <w:lang w:bidi="fa-IR"/>
        </w:rPr>
      </w:pPr>
      <w:r w:rsidRPr="006E24C6">
        <w:rPr>
          <w:rStyle w:val="FootnoteReference"/>
          <w:rFonts w:asciiTheme="minorHAnsi" w:hAnsiTheme="minorHAnsi"/>
        </w:rPr>
        <w:footnoteRef/>
      </w:r>
      <w:r w:rsidRPr="006E24C6">
        <w:rPr>
          <w:rFonts w:asciiTheme="minorHAnsi" w:hAnsiTheme="minorHAnsi"/>
        </w:rPr>
        <w:t xml:space="preserve">- </w:t>
      </w:r>
      <w:r w:rsidRPr="006E24C6">
        <w:rPr>
          <w:rFonts w:asciiTheme="minorHAnsi" w:hAnsiTheme="minorHAnsi"/>
          <w:lang w:bidi="fa-IR"/>
        </w:rPr>
        <w:t>Bockstiegel, Karl-Heinz, “Public Policy as a Limit to Arbitration and it</w:t>
      </w:r>
      <w:r w:rsidRPr="006E24C6">
        <w:rPr>
          <w:rFonts w:asciiTheme="minorHAnsi" w:hAnsiTheme="minorHAnsi"/>
          <w:rtl/>
          <w:lang w:bidi="fa-IR"/>
        </w:rPr>
        <w:t xml:space="preserve"> </w:t>
      </w:r>
      <w:r w:rsidRPr="006E24C6">
        <w:rPr>
          <w:rFonts w:asciiTheme="minorHAnsi" w:hAnsiTheme="minorHAnsi"/>
          <w:lang w:bidi="fa-IR"/>
        </w:rPr>
        <w:t>Enforcement”, IBA Journal of Dispute Resolution, Special Issue, 2008, p.3.</w:t>
      </w:r>
    </w:p>
  </w:footnote>
  <w:footnote w:id="101">
    <w:p w:rsidR="00581BA0" w:rsidRPr="006E24C6" w:rsidRDefault="00581BA0" w:rsidP="00BB2898">
      <w:pPr>
        <w:pStyle w:val="FootnoteText"/>
        <w:bidi/>
        <w:jc w:val="both"/>
        <w:rPr>
          <w:rtl/>
          <w:lang w:bidi="fa-IR"/>
        </w:rPr>
      </w:pPr>
      <w:r>
        <w:rPr>
          <w:rFonts w:hint="cs"/>
          <w:rtl/>
        </w:rPr>
        <w:t>101</w:t>
      </w:r>
      <w:r w:rsidRPr="006E24C6">
        <w:rPr>
          <w:rFonts w:hint="cs"/>
          <w:rtl/>
        </w:rPr>
        <w:t xml:space="preserve">- </w:t>
      </w:r>
      <w:r w:rsidRPr="006E24C6">
        <w:rPr>
          <w:rFonts w:hint="cs"/>
          <w:rtl/>
          <w:lang w:bidi="fa-IR"/>
        </w:rPr>
        <w:t xml:space="preserve">کاتوزیان، ناصر، </w:t>
      </w:r>
      <w:r w:rsidRPr="006E24C6">
        <w:rPr>
          <w:rFonts w:hint="cs"/>
          <w:b/>
          <w:bCs/>
          <w:rtl/>
          <w:lang w:bidi="fa-IR"/>
        </w:rPr>
        <w:t>قواعد عمومی قراردادها</w:t>
      </w:r>
      <w:r w:rsidRPr="006E24C6">
        <w:rPr>
          <w:rFonts w:hint="cs"/>
          <w:rtl/>
          <w:lang w:bidi="fa-IR"/>
        </w:rPr>
        <w:t>، چاپ پنجم، ج 1، شرکت سهامی انتشار، 1380،تهران، ص158.</w:t>
      </w:r>
    </w:p>
  </w:footnote>
  <w:footnote w:id="102">
    <w:p w:rsidR="00581BA0" w:rsidRDefault="00581BA0" w:rsidP="00BE0451">
      <w:pPr>
        <w:pStyle w:val="FootnoteText"/>
        <w:bidi/>
        <w:jc w:val="both"/>
        <w:rPr>
          <w:rtl/>
          <w:lang w:bidi="fa-IR"/>
        </w:rPr>
      </w:pPr>
      <w:r w:rsidRPr="006E24C6">
        <w:rPr>
          <w:rFonts w:hint="cs"/>
          <w:rtl/>
        </w:rPr>
        <w:t>10</w:t>
      </w:r>
      <w:r>
        <w:rPr>
          <w:rFonts w:hint="cs"/>
          <w:rtl/>
          <w:lang w:bidi="fa-IR"/>
        </w:rPr>
        <w:t>2</w:t>
      </w:r>
      <w:r w:rsidRPr="006E24C6">
        <w:rPr>
          <w:rFonts w:hint="cs"/>
          <w:rtl/>
        </w:rPr>
        <w:t xml:space="preserve">- </w:t>
      </w:r>
      <w:r w:rsidRPr="006E24C6">
        <w:rPr>
          <w:rFonts w:hint="cs"/>
          <w:rtl/>
          <w:lang w:bidi="fa-IR"/>
        </w:rPr>
        <w:t xml:space="preserve">صفایی، حسین، </w:t>
      </w:r>
      <w:r w:rsidRPr="006E24C6">
        <w:rPr>
          <w:rFonts w:hint="cs"/>
          <w:b/>
          <w:bCs/>
          <w:rtl/>
          <w:lang w:bidi="fa-IR"/>
        </w:rPr>
        <w:t>قواعد عمومی قراردادها</w:t>
      </w:r>
      <w:r w:rsidRPr="006E24C6">
        <w:rPr>
          <w:rFonts w:hint="cs"/>
          <w:rtl/>
          <w:lang w:bidi="fa-IR"/>
        </w:rPr>
        <w:t>، نشر میزان،1382، تهران، ص51.</w:t>
      </w:r>
    </w:p>
  </w:footnote>
  <w:footnote w:id="103">
    <w:p w:rsidR="00581BA0" w:rsidRPr="006E24C6" w:rsidRDefault="00581BA0" w:rsidP="00BB2898">
      <w:pPr>
        <w:pStyle w:val="FootnoteText"/>
        <w:jc w:val="left"/>
        <w:rPr>
          <w:rFonts w:asciiTheme="minorHAnsi" w:hAnsiTheme="minorHAnsi"/>
          <w:rtl/>
          <w:lang w:bidi="fa-IR"/>
        </w:rPr>
      </w:pPr>
      <w:r w:rsidRPr="006E24C6">
        <w:rPr>
          <w:rStyle w:val="FootnoteReference"/>
          <w:rFonts w:asciiTheme="minorHAnsi" w:hAnsiTheme="minorHAnsi"/>
        </w:rPr>
        <w:footnoteRef/>
      </w:r>
      <w:r w:rsidRPr="006E24C6">
        <w:rPr>
          <w:rFonts w:asciiTheme="minorHAnsi" w:hAnsiTheme="minorHAnsi"/>
        </w:rPr>
        <w:t>- Carbonnier, J., Droit Civil, T, (Paris L.G.D.J), 1967, p.100.</w:t>
      </w:r>
    </w:p>
  </w:footnote>
  <w:footnote w:id="104">
    <w:p w:rsidR="00581BA0" w:rsidRPr="006E24C6" w:rsidRDefault="00581BA0" w:rsidP="00BE0451">
      <w:pPr>
        <w:pStyle w:val="FootnoteText"/>
        <w:bidi/>
        <w:jc w:val="both"/>
        <w:rPr>
          <w:rtl/>
          <w:lang w:bidi="fa-IR"/>
        </w:rPr>
      </w:pPr>
      <w:r w:rsidRPr="006E24C6">
        <w:rPr>
          <w:rFonts w:hint="cs"/>
          <w:rtl/>
        </w:rPr>
        <w:t>10</w:t>
      </w:r>
      <w:r>
        <w:rPr>
          <w:rFonts w:hint="cs"/>
          <w:rtl/>
        </w:rPr>
        <w:t>4</w:t>
      </w:r>
      <w:r w:rsidRPr="006E24C6">
        <w:rPr>
          <w:rFonts w:hint="cs"/>
          <w:rtl/>
        </w:rPr>
        <w:t xml:space="preserve">- </w:t>
      </w:r>
      <w:r w:rsidRPr="006E24C6">
        <w:rPr>
          <w:rFonts w:hint="cs"/>
          <w:rtl/>
          <w:lang w:bidi="fa-IR"/>
        </w:rPr>
        <w:t xml:space="preserve">سلجوقی، محمود، </w:t>
      </w:r>
      <w:r w:rsidRPr="006E24C6">
        <w:rPr>
          <w:rFonts w:hint="cs"/>
          <w:b/>
          <w:bCs/>
          <w:rtl/>
          <w:lang w:bidi="fa-IR"/>
        </w:rPr>
        <w:t>حقوق بین‌الملل خصوصی</w:t>
      </w:r>
      <w:r w:rsidRPr="006E24C6">
        <w:rPr>
          <w:rFonts w:hint="cs"/>
          <w:rtl/>
          <w:lang w:bidi="fa-IR"/>
        </w:rPr>
        <w:t>، چاپ چهارم، جلد 2، نشر میزان، 1386، تهران، ص181-183.</w:t>
      </w:r>
    </w:p>
  </w:footnote>
  <w:footnote w:id="105">
    <w:p w:rsidR="00581BA0" w:rsidRDefault="00581BA0" w:rsidP="00BE0451">
      <w:pPr>
        <w:pStyle w:val="FootnoteText"/>
        <w:bidi/>
        <w:jc w:val="both"/>
        <w:rPr>
          <w:rtl/>
          <w:lang w:bidi="fa-IR"/>
        </w:rPr>
      </w:pPr>
      <w:r w:rsidRPr="006E24C6">
        <w:rPr>
          <w:rFonts w:hint="cs"/>
          <w:rtl/>
        </w:rPr>
        <w:t>1</w:t>
      </w:r>
      <w:r>
        <w:rPr>
          <w:rFonts w:hint="cs"/>
          <w:rtl/>
        </w:rPr>
        <w:t>05</w:t>
      </w:r>
      <w:r w:rsidRPr="006E24C6">
        <w:rPr>
          <w:rFonts w:hint="cs"/>
          <w:rtl/>
        </w:rPr>
        <w:t xml:space="preserve">- </w:t>
      </w:r>
      <w:r w:rsidRPr="006E24C6">
        <w:rPr>
          <w:rFonts w:hint="cs"/>
          <w:rtl/>
          <w:lang w:bidi="fa-IR"/>
        </w:rPr>
        <w:t xml:space="preserve">کسجیان، کاترین، «نظم عمومی در حقوق اروپا»، مترجم فیض‌الله جعفری، </w:t>
      </w:r>
      <w:r w:rsidRPr="006E24C6">
        <w:rPr>
          <w:rFonts w:hint="cs"/>
          <w:b/>
          <w:bCs/>
          <w:rtl/>
          <w:lang w:bidi="fa-IR"/>
        </w:rPr>
        <w:t>مجله حقوقی بین‌المللی</w:t>
      </w:r>
      <w:r w:rsidRPr="006E24C6">
        <w:rPr>
          <w:rFonts w:hint="cs"/>
          <w:rtl/>
          <w:lang w:bidi="fa-IR"/>
        </w:rPr>
        <w:t>، شماره 38، تهران 1387، ص189.</w:t>
      </w:r>
    </w:p>
  </w:footnote>
  <w:footnote w:id="106">
    <w:p w:rsidR="00581BA0" w:rsidRPr="006E24C6" w:rsidRDefault="00581BA0" w:rsidP="00BB2898">
      <w:pPr>
        <w:pStyle w:val="FootnoteText"/>
        <w:jc w:val="left"/>
        <w:rPr>
          <w:rFonts w:asciiTheme="minorHAnsi" w:hAnsiTheme="minorHAnsi" w:cstheme="majorBidi"/>
          <w:lang w:bidi="fa-IR"/>
        </w:rPr>
      </w:pPr>
      <w:r w:rsidRPr="006E24C6">
        <w:rPr>
          <w:rStyle w:val="FootnoteReference"/>
          <w:rFonts w:asciiTheme="minorHAnsi" w:hAnsiTheme="minorHAnsi" w:cstheme="majorBidi"/>
        </w:rPr>
        <w:footnoteRef/>
      </w:r>
      <w:r w:rsidRPr="006E24C6">
        <w:rPr>
          <w:rFonts w:asciiTheme="minorHAnsi" w:hAnsiTheme="minorHAnsi" w:cstheme="majorBidi"/>
          <w:rtl/>
        </w:rPr>
        <w:t>-</w:t>
      </w:r>
      <w:r w:rsidRPr="006E24C6">
        <w:rPr>
          <w:rFonts w:asciiTheme="minorHAnsi" w:hAnsiTheme="minorHAnsi" w:cstheme="majorBidi"/>
        </w:rPr>
        <w:t xml:space="preserve"> </w:t>
      </w:r>
      <w:r w:rsidRPr="006E24C6">
        <w:rPr>
          <w:rFonts w:asciiTheme="minorHAnsi" w:hAnsiTheme="minorHAnsi" w:cstheme="majorBidi"/>
          <w:lang w:bidi="fa-IR"/>
        </w:rPr>
        <w:t>Case41/74, Yvonne van Duyn v.Home Office[1974]ECR, 01337 at 01351.</w:t>
      </w:r>
    </w:p>
  </w:footnote>
  <w:footnote w:id="107">
    <w:p w:rsidR="00581BA0" w:rsidRPr="006E24C6" w:rsidRDefault="00581BA0" w:rsidP="00BE0451">
      <w:pPr>
        <w:pStyle w:val="FootnoteText"/>
        <w:bidi/>
        <w:jc w:val="left"/>
        <w:rPr>
          <w:rtl/>
          <w:lang w:bidi="fa-IR"/>
        </w:rPr>
      </w:pPr>
      <w:r w:rsidRPr="006E24C6">
        <w:rPr>
          <w:rFonts w:hint="cs"/>
          <w:rtl/>
        </w:rPr>
        <w:t>10</w:t>
      </w:r>
      <w:r>
        <w:rPr>
          <w:rFonts w:hint="cs"/>
          <w:rtl/>
        </w:rPr>
        <w:t>7</w:t>
      </w:r>
      <w:r w:rsidRPr="006E24C6">
        <w:rPr>
          <w:rFonts w:hint="cs"/>
          <w:rtl/>
        </w:rPr>
        <w:t xml:space="preserve">- </w:t>
      </w:r>
      <w:r w:rsidRPr="006E24C6">
        <w:rPr>
          <w:rFonts w:hint="cs"/>
          <w:rtl/>
          <w:lang w:bidi="fa-IR"/>
        </w:rPr>
        <w:t xml:space="preserve">جعفری لنگرودی، محمد جعفر، </w:t>
      </w:r>
      <w:r w:rsidRPr="006E24C6">
        <w:rPr>
          <w:rFonts w:hint="cs"/>
          <w:b/>
          <w:bCs/>
          <w:rtl/>
          <w:lang w:bidi="fa-IR"/>
        </w:rPr>
        <w:t>ترمینولوژی حقوق</w:t>
      </w:r>
      <w:r w:rsidRPr="006E24C6">
        <w:rPr>
          <w:rFonts w:hint="cs"/>
          <w:rtl/>
          <w:lang w:bidi="fa-IR"/>
        </w:rPr>
        <w:t>، چاپ نهم، گنج دانش، 1377، تهران، ص717.</w:t>
      </w:r>
    </w:p>
  </w:footnote>
  <w:footnote w:id="108">
    <w:p w:rsidR="00581BA0" w:rsidRPr="00BB2898" w:rsidRDefault="00581BA0" w:rsidP="00BB2898">
      <w:pPr>
        <w:pStyle w:val="FootnoteText"/>
        <w:jc w:val="left"/>
        <w:rPr>
          <w:rFonts w:asciiTheme="minorHAnsi" w:hAnsiTheme="minorHAnsi"/>
          <w:lang w:bidi="fa-IR"/>
        </w:rPr>
      </w:pPr>
      <w:r w:rsidRPr="00BB2898">
        <w:rPr>
          <w:rStyle w:val="FootnoteReference"/>
          <w:rFonts w:asciiTheme="minorHAnsi" w:hAnsiTheme="minorHAnsi"/>
        </w:rPr>
        <w:footnoteRef/>
      </w:r>
      <w:r w:rsidRPr="00BB2898">
        <w:rPr>
          <w:rFonts w:asciiTheme="minorHAnsi" w:hAnsiTheme="minorHAnsi"/>
          <w:rtl/>
        </w:rPr>
        <w:t>-</w:t>
      </w:r>
      <w:r w:rsidRPr="00BB2898">
        <w:rPr>
          <w:rFonts w:asciiTheme="minorHAnsi" w:hAnsiTheme="minorHAnsi"/>
          <w:lang w:bidi="fa-IR"/>
        </w:rPr>
        <w:t xml:space="preserve"> Lu, May, “The New York Convention on the Recognition and Enforcement of Foreign Arbitral Awards: Analysis of the Seven Defenses to Oppose Enforcement in the United States and England”, 23 Ariz.J. Int L &amp; Comp., 2006. p.771.</w:t>
      </w:r>
    </w:p>
  </w:footnote>
  <w:footnote w:id="109">
    <w:p w:rsidR="00581BA0" w:rsidRPr="00BB2898" w:rsidRDefault="00581BA0" w:rsidP="00BB2898">
      <w:pPr>
        <w:pStyle w:val="FootnoteText"/>
        <w:jc w:val="left"/>
        <w:rPr>
          <w:rFonts w:asciiTheme="minorHAnsi" w:hAnsiTheme="minorHAnsi"/>
          <w:lang w:bidi="fa-IR"/>
        </w:rPr>
      </w:pPr>
      <w:r w:rsidRPr="00BB2898">
        <w:rPr>
          <w:rStyle w:val="FootnoteReference"/>
          <w:rFonts w:asciiTheme="minorHAnsi" w:hAnsiTheme="minorHAnsi"/>
        </w:rPr>
        <w:footnoteRef/>
      </w:r>
      <w:r w:rsidRPr="00BB2898">
        <w:rPr>
          <w:rFonts w:asciiTheme="minorHAnsi" w:hAnsiTheme="minorHAnsi"/>
          <w:rtl/>
        </w:rPr>
        <w:t xml:space="preserve"> -</w:t>
      </w:r>
      <w:r w:rsidRPr="00BB2898">
        <w:rPr>
          <w:rFonts w:asciiTheme="minorHAnsi" w:hAnsiTheme="minorHAnsi"/>
          <w:rtl/>
          <w:lang w:bidi="fa-IR"/>
        </w:rPr>
        <w:t xml:space="preserve"> </w:t>
      </w:r>
      <w:r w:rsidRPr="00BB2898">
        <w:rPr>
          <w:rFonts w:asciiTheme="minorHAnsi" w:hAnsiTheme="minorHAnsi"/>
          <w:lang w:bidi="fa-IR"/>
        </w:rPr>
        <w:t>Gailllard Emmanuel &amp; Savage John, Fouchard, Goldman on International Commercial Arbitration, Kluwer Law International, 1999, p.342.</w:t>
      </w:r>
    </w:p>
  </w:footnote>
  <w:footnote w:id="110">
    <w:p w:rsidR="00581BA0" w:rsidRPr="003472FE" w:rsidRDefault="00581BA0" w:rsidP="00BB2898">
      <w:pPr>
        <w:pStyle w:val="FootnoteText"/>
        <w:jc w:val="left"/>
        <w:rPr>
          <w:rFonts w:asciiTheme="minorHAnsi" w:hAnsiTheme="minorHAnsi"/>
          <w:rtl/>
          <w:lang w:bidi="fa-IR"/>
        </w:rPr>
      </w:pPr>
      <w:r w:rsidRPr="00BB2898">
        <w:rPr>
          <w:rStyle w:val="FootnoteReference"/>
          <w:rFonts w:asciiTheme="minorHAnsi" w:hAnsiTheme="minorHAnsi"/>
        </w:rPr>
        <w:footnoteRef/>
      </w:r>
      <w:r w:rsidRPr="00BB2898">
        <w:rPr>
          <w:rFonts w:asciiTheme="minorHAnsi" w:hAnsiTheme="minorHAnsi"/>
          <w:rtl/>
        </w:rPr>
        <w:t xml:space="preserve"> -</w:t>
      </w:r>
      <w:r w:rsidRPr="00BB2898">
        <w:rPr>
          <w:rFonts w:asciiTheme="minorHAnsi" w:hAnsiTheme="minorHAnsi"/>
          <w:rtl/>
          <w:lang w:bidi="fa-IR"/>
        </w:rPr>
        <w:t xml:space="preserve"> </w:t>
      </w:r>
      <w:r w:rsidRPr="00BB2898">
        <w:rPr>
          <w:rFonts w:asciiTheme="minorHAnsi" w:hAnsiTheme="minorHAnsi"/>
          <w:lang w:bidi="fa-IR"/>
        </w:rPr>
        <w:t>Lu, op.cit., p.772.</w:t>
      </w:r>
    </w:p>
  </w:footnote>
  <w:footnote w:id="111">
    <w:p w:rsidR="00581BA0" w:rsidRDefault="00581BA0" w:rsidP="00BB2898">
      <w:pPr>
        <w:pStyle w:val="FootnoteText"/>
        <w:jc w:val="left"/>
        <w:rPr>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cstheme="majorBidi"/>
        </w:rPr>
        <w:t>Park William W., “Control Mechanisms in Development of a Modern Lex Mercatoria”, in Thomas E. Carbonneau, Lex Mercatoria and Arbitration, Kluwer Law International, 1998, p.161.</w:t>
      </w:r>
    </w:p>
  </w:footnote>
  <w:footnote w:id="112">
    <w:p w:rsidR="00581BA0" w:rsidRPr="003472FE" w:rsidRDefault="00581BA0" w:rsidP="00BB2898">
      <w:pPr>
        <w:pStyle w:val="FootnoteText"/>
        <w:jc w:val="mediumKashida"/>
        <w:rPr>
          <w:rFonts w:asciiTheme="minorHAnsi" w:hAnsiTheme="minorHAnsi"/>
          <w:rtl/>
          <w:lang w:bidi="fa-IR"/>
        </w:rPr>
      </w:pPr>
      <w:r w:rsidRPr="003472FE">
        <w:rPr>
          <w:rStyle w:val="FootnoteReference"/>
          <w:rFonts w:asciiTheme="minorHAnsi" w:hAnsiTheme="minorHAnsi"/>
        </w:rPr>
        <w:footnoteRef/>
      </w:r>
      <w:r w:rsidRPr="003472FE">
        <w:rPr>
          <w:rFonts w:asciiTheme="minorHAnsi" w:hAnsiTheme="minorHAnsi"/>
          <w:vertAlign w:val="superscript"/>
        </w:rPr>
        <w:t>-</w:t>
      </w:r>
      <w:r w:rsidRPr="003472FE">
        <w:rPr>
          <w:rFonts w:asciiTheme="minorHAnsi" w:hAnsiTheme="minorHAnsi"/>
        </w:rPr>
        <w:t xml:space="preserve"> Gaillard &amp; Savage,op.cit., pp.954-955.</w:t>
      </w:r>
    </w:p>
  </w:footnote>
  <w:footnote w:id="113">
    <w:p w:rsidR="00581BA0" w:rsidRPr="003472FE" w:rsidRDefault="00581BA0" w:rsidP="00341FD2">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w:t>
      </w:r>
      <w:r w:rsidRPr="003472FE">
        <w:rPr>
          <w:rFonts w:asciiTheme="minorHAnsi" w:hAnsiTheme="minorHAnsi"/>
          <w:rtl/>
          <w:lang w:bidi="fa-IR"/>
        </w:rPr>
        <w:t xml:space="preserve"> </w:t>
      </w:r>
      <w:r w:rsidRPr="003472FE">
        <w:rPr>
          <w:rFonts w:asciiTheme="minorHAnsi" w:hAnsiTheme="minorHAnsi"/>
          <w:lang w:bidi="fa-IR"/>
        </w:rPr>
        <w:t>Jaenikes,</w:t>
      </w:r>
      <w:r w:rsidRPr="003472FE">
        <w:rPr>
          <w:rFonts w:asciiTheme="minorHAnsi" w:hAnsiTheme="minorHAnsi"/>
          <w:rtl/>
          <w:lang w:bidi="fa-IR"/>
        </w:rPr>
        <w:t xml:space="preserve"> </w:t>
      </w:r>
      <w:r w:rsidRPr="003472FE">
        <w:rPr>
          <w:rFonts w:asciiTheme="minorHAnsi" w:hAnsiTheme="minorHAnsi"/>
          <w:lang w:bidi="fa-IR"/>
        </w:rPr>
        <w:t>International</w:t>
      </w:r>
      <w:r w:rsidRPr="003472FE">
        <w:rPr>
          <w:rFonts w:asciiTheme="minorHAnsi" w:hAnsiTheme="minorHAnsi"/>
          <w:rtl/>
          <w:lang w:bidi="fa-IR"/>
        </w:rPr>
        <w:t xml:space="preserve"> </w:t>
      </w:r>
      <w:r w:rsidRPr="003472FE">
        <w:rPr>
          <w:rFonts w:asciiTheme="minorHAnsi" w:hAnsiTheme="minorHAnsi"/>
          <w:lang w:bidi="fa-IR"/>
        </w:rPr>
        <w:t>Public</w:t>
      </w:r>
      <w:r w:rsidRPr="003472FE">
        <w:rPr>
          <w:rFonts w:asciiTheme="minorHAnsi" w:hAnsiTheme="minorHAnsi"/>
          <w:rtl/>
          <w:lang w:bidi="fa-IR"/>
        </w:rPr>
        <w:t xml:space="preserve"> </w:t>
      </w:r>
      <w:r w:rsidRPr="003472FE">
        <w:rPr>
          <w:rFonts w:asciiTheme="minorHAnsi" w:hAnsiTheme="minorHAnsi"/>
          <w:lang w:bidi="fa-IR"/>
        </w:rPr>
        <w:t>Order,</w:t>
      </w:r>
      <w:r w:rsidRPr="003472FE">
        <w:rPr>
          <w:rFonts w:asciiTheme="minorHAnsi" w:hAnsiTheme="minorHAnsi"/>
          <w:rtl/>
          <w:lang w:bidi="fa-IR"/>
        </w:rPr>
        <w:t xml:space="preserve"> </w:t>
      </w:r>
      <w:r w:rsidRPr="003472FE">
        <w:rPr>
          <w:rFonts w:asciiTheme="minorHAnsi" w:hAnsiTheme="minorHAnsi"/>
          <w:lang w:bidi="fa-IR"/>
        </w:rPr>
        <w:t>Encyclopedia</w:t>
      </w:r>
      <w:r w:rsidRPr="003472FE">
        <w:rPr>
          <w:rFonts w:asciiTheme="minorHAnsi" w:hAnsiTheme="minorHAnsi"/>
          <w:rtl/>
          <w:lang w:bidi="fa-IR"/>
        </w:rPr>
        <w:t xml:space="preserve"> </w:t>
      </w:r>
      <w:r w:rsidRPr="003472FE">
        <w:rPr>
          <w:rFonts w:asciiTheme="minorHAnsi" w:hAnsiTheme="minorHAnsi"/>
          <w:lang w:bidi="fa-IR"/>
        </w:rPr>
        <w:t>of</w:t>
      </w:r>
      <w:r w:rsidRPr="003472FE">
        <w:rPr>
          <w:rFonts w:asciiTheme="minorHAnsi" w:hAnsiTheme="minorHAnsi"/>
          <w:rtl/>
          <w:lang w:bidi="fa-IR"/>
        </w:rPr>
        <w:t xml:space="preserve"> </w:t>
      </w:r>
      <w:r w:rsidRPr="003472FE">
        <w:rPr>
          <w:rFonts w:asciiTheme="minorHAnsi" w:hAnsiTheme="minorHAnsi"/>
          <w:lang w:bidi="fa-IR"/>
        </w:rPr>
        <w:t>Public</w:t>
      </w:r>
      <w:r w:rsidRPr="003472FE">
        <w:rPr>
          <w:rFonts w:asciiTheme="minorHAnsi" w:hAnsiTheme="minorHAnsi"/>
          <w:rtl/>
          <w:lang w:bidi="fa-IR"/>
        </w:rPr>
        <w:t xml:space="preserve"> </w:t>
      </w:r>
      <w:r w:rsidRPr="003472FE">
        <w:rPr>
          <w:rFonts w:asciiTheme="minorHAnsi" w:hAnsiTheme="minorHAnsi"/>
          <w:lang w:bidi="fa-IR"/>
        </w:rPr>
        <w:t>International</w:t>
      </w:r>
      <w:r w:rsidRPr="003472FE">
        <w:rPr>
          <w:rFonts w:asciiTheme="minorHAnsi" w:hAnsiTheme="minorHAnsi"/>
          <w:rtl/>
          <w:lang w:bidi="fa-IR"/>
        </w:rPr>
        <w:t xml:space="preserve"> </w:t>
      </w:r>
      <w:r w:rsidRPr="003472FE">
        <w:rPr>
          <w:rFonts w:asciiTheme="minorHAnsi" w:hAnsiTheme="minorHAnsi"/>
          <w:lang w:bidi="fa-IR"/>
        </w:rPr>
        <w:t>Law, vol.7, p.315.</w:t>
      </w:r>
    </w:p>
  </w:footnote>
  <w:footnote w:id="114">
    <w:p w:rsidR="00581BA0" w:rsidRDefault="00581BA0" w:rsidP="00341FD2">
      <w:pPr>
        <w:pStyle w:val="FootnoteText"/>
        <w:jc w:val="left"/>
        <w:rPr>
          <w:rtl/>
          <w:lang w:bidi="fa-IR"/>
        </w:rPr>
      </w:pPr>
      <w:r w:rsidRPr="003472FE">
        <w:rPr>
          <w:rStyle w:val="FootnoteReference"/>
          <w:rFonts w:asciiTheme="minorHAnsi" w:hAnsiTheme="minorHAnsi"/>
        </w:rPr>
        <w:footnoteRef/>
      </w:r>
      <w:r w:rsidRPr="003472FE">
        <w:rPr>
          <w:rFonts w:asciiTheme="minorHAnsi" w:hAnsiTheme="minorHAnsi"/>
        </w:rPr>
        <w:t>-</w:t>
      </w:r>
      <w:r w:rsidRPr="003472FE">
        <w:rPr>
          <w:rFonts w:asciiTheme="minorHAnsi" w:hAnsiTheme="minorHAnsi"/>
          <w:rtl/>
        </w:rPr>
        <w:t xml:space="preserve"> </w:t>
      </w:r>
      <w:r w:rsidRPr="003472FE">
        <w:rPr>
          <w:rFonts w:asciiTheme="minorHAnsi" w:hAnsiTheme="minorHAnsi"/>
          <w:lang w:bidi="fa-IR"/>
        </w:rPr>
        <w:t>Briner</w:t>
      </w:r>
      <w:r w:rsidRPr="003472FE">
        <w:rPr>
          <w:rFonts w:asciiTheme="minorHAnsi" w:hAnsiTheme="minorHAnsi"/>
          <w:rtl/>
          <w:lang w:bidi="fa-IR"/>
        </w:rPr>
        <w:t xml:space="preserve"> </w:t>
      </w:r>
      <w:r w:rsidRPr="003472FE">
        <w:rPr>
          <w:rFonts w:asciiTheme="minorHAnsi" w:hAnsiTheme="minorHAnsi"/>
          <w:lang w:bidi="fa-IR"/>
        </w:rPr>
        <w:t>Robert,</w:t>
      </w:r>
      <w:r w:rsidRPr="003472FE">
        <w:rPr>
          <w:rFonts w:asciiTheme="minorHAnsi" w:hAnsiTheme="minorHAnsi"/>
          <w:rtl/>
          <w:lang w:bidi="fa-IR"/>
        </w:rPr>
        <w:t xml:space="preserve"> </w:t>
      </w:r>
      <w:r w:rsidRPr="003472FE">
        <w:rPr>
          <w:rFonts w:asciiTheme="minorHAnsi" w:hAnsiTheme="minorHAnsi"/>
          <w:lang w:bidi="fa-IR"/>
        </w:rPr>
        <w:t>Yearbook</w:t>
      </w:r>
      <w:r w:rsidRPr="003472FE">
        <w:rPr>
          <w:rFonts w:asciiTheme="minorHAnsi" w:hAnsiTheme="minorHAnsi"/>
          <w:rtl/>
          <w:lang w:bidi="fa-IR"/>
        </w:rPr>
        <w:t xml:space="preserve"> </w:t>
      </w:r>
      <w:r w:rsidRPr="003472FE">
        <w:rPr>
          <w:rFonts w:asciiTheme="minorHAnsi" w:hAnsiTheme="minorHAnsi"/>
          <w:lang w:bidi="fa-IR"/>
        </w:rPr>
        <w:t>of</w:t>
      </w:r>
      <w:r w:rsidRPr="003472FE">
        <w:rPr>
          <w:rFonts w:asciiTheme="minorHAnsi" w:hAnsiTheme="minorHAnsi"/>
          <w:rtl/>
          <w:lang w:bidi="fa-IR"/>
        </w:rPr>
        <w:t xml:space="preserve"> </w:t>
      </w:r>
      <w:r w:rsidRPr="003472FE">
        <w:rPr>
          <w:rFonts w:asciiTheme="minorHAnsi" w:hAnsiTheme="minorHAnsi"/>
          <w:lang w:bidi="fa-IR"/>
        </w:rPr>
        <w:t>Commmercial</w:t>
      </w:r>
      <w:r w:rsidRPr="003472FE">
        <w:rPr>
          <w:rFonts w:asciiTheme="minorHAnsi" w:hAnsiTheme="minorHAnsi"/>
          <w:rtl/>
          <w:lang w:bidi="fa-IR"/>
        </w:rPr>
        <w:t xml:space="preserve"> </w:t>
      </w:r>
      <w:r w:rsidRPr="003472FE">
        <w:rPr>
          <w:rFonts w:asciiTheme="minorHAnsi" w:hAnsiTheme="minorHAnsi"/>
          <w:lang w:bidi="fa-IR"/>
        </w:rPr>
        <w:t>Arbitration,</w:t>
      </w:r>
      <w:r w:rsidRPr="003472FE">
        <w:rPr>
          <w:rFonts w:asciiTheme="minorHAnsi" w:hAnsiTheme="minorHAnsi"/>
          <w:rtl/>
          <w:lang w:bidi="fa-IR"/>
        </w:rPr>
        <w:t xml:space="preserve"> </w:t>
      </w:r>
      <w:r w:rsidRPr="003472FE">
        <w:rPr>
          <w:rFonts w:asciiTheme="minorHAnsi" w:hAnsiTheme="minorHAnsi"/>
          <w:lang w:bidi="fa-IR"/>
        </w:rPr>
        <w:t>Kluwer</w:t>
      </w:r>
      <w:r w:rsidRPr="003472FE">
        <w:rPr>
          <w:rFonts w:asciiTheme="minorHAnsi" w:hAnsiTheme="minorHAnsi"/>
          <w:rtl/>
          <w:lang w:bidi="fa-IR"/>
        </w:rPr>
        <w:t xml:space="preserve"> </w:t>
      </w:r>
      <w:r w:rsidRPr="003472FE">
        <w:rPr>
          <w:rFonts w:asciiTheme="minorHAnsi" w:hAnsiTheme="minorHAnsi"/>
          <w:lang w:bidi="fa-IR"/>
        </w:rPr>
        <w:t>Law</w:t>
      </w:r>
      <w:r w:rsidRPr="003472FE">
        <w:rPr>
          <w:rFonts w:asciiTheme="minorHAnsi" w:hAnsiTheme="minorHAnsi"/>
          <w:rtl/>
          <w:lang w:bidi="fa-IR"/>
        </w:rPr>
        <w:t xml:space="preserve"> </w:t>
      </w:r>
      <w:r w:rsidRPr="003472FE">
        <w:rPr>
          <w:rFonts w:asciiTheme="minorHAnsi" w:hAnsiTheme="minorHAnsi"/>
          <w:lang w:bidi="fa-IR"/>
        </w:rPr>
        <w:t>and</w:t>
      </w:r>
      <w:r w:rsidRPr="003472FE">
        <w:rPr>
          <w:rFonts w:asciiTheme="minorHAnsi" w:hAnsiTheme="minorHAnsi"/>
          <w:rtl/>
          <w:lang w:bidi="fa-IR"/>
        </w:rPr>
        <w:t xml:space="preserve"> </w:t>
      </w:r>
      <w:r w:rsidRPr="003472FE">
        <w:rPr>
          <w:rFonts w:asciiTheme="minorHAnsi" w:hAnsiTheme="minorHAnsi"/>
          <w:lang w:bidi="fa-IR"/>
        </w:rPr>
        <w:t>Taxation Publishers, Volume XVIII, 1993, p.13.</w:t>
      </w:r>
    </w:p>
  </w:footnote>
  <w:footnote w:id="115">
    <w:p w:rsidR="00581BA0" w:rsidRPr="003472FE" w:rsidRDefault="00581BA0" w:rsidP="00BE0451">
      <w:pPr>
        <w:pStyle w:val="FootnoteText"/>
        <w:bidi/>
        <w:ind w:right="1080"/>
        <w:jc w:val="left"/>
        <w:rPr>
          <w:rFonts w:asciiTheme="minorHAnsi" w:hAnsiTheme="minorHAnsi"/>
          <w:rtl/>
          <w:lang w:bidi="fa-IR"/>
        </w:rPr>
      </w:pPr>
      <w:r w:rsidRPr="003472FE">
        <w:rPr>
          <w:rFonts w:asciiTheme="minorHAnsi" w:hAnsiTheme="minorHAnsi"/>
          <w:rtl/>
        </w:rPr>
        <w:t>11</w:t>
      </w:r>
      <w:r>
        <w:rPr>
          <w:rFonts w:asciiTheme="minorHAnsi" w:hAnsiTheme="minorHAnsi" w:hint="cs"/>
          <w:rtl/>
        </w:rPr>
        <w:t>5</w:t>
      </w:r>
      <w:r w:rsidRPr="003472FE">
        <w:rPr>
          <w:rFonts w:asciiTheme="minorHAnsi" w:hAnsiTheme="minorHAnsi"/>
          <w:rtl/>
          <w:lang w:bidi="fa-IR"/>
        </w:rPr>
        <w:t xml:space="preserve">- صادقی، محسن، </w:t>
      </w:r>
      <w:r>
        <w:rPr>
          <w:rFonts w:asciiTheme="minorHAnsi" w:hAnsiTheme="minorHAnsi" w:hint="cs"/>
          <w:rtl/>
          <w:lang w:bidi="fa-IR"/>
        </w:rPr>
        <w:t>منبع پیشین، ص97.</w:t>
      </w:r>
    </w:p>
  </w:footnote>
  <w:footnote w:id="116">
    <w:p w:rsidR="00581BA0" w:rsidRPr="003472FE" w:rsidRDefault="00581BA0" w:rsidP="00BE0451">
      <w:pPr>
        <w:pStyle w:val="FootnoteText"/>
        <w:bidi/>
        <w:ind w:right="1080"/>
        <w:jc w:val="left"/>
        <w:rPr>
          <w:rFonts w:asciiTheme="minorHAnsi" w:hAnsiTheme="minorHAnsi"/>
          <w:rtl/>
          <w:lang w:bidi="fa-IR"/>
        </w:rPr>
      </w:pPr>
      <w:r w:rsidRPr="003472FE">
        <w:rPr>
          <w:rFonts w:asciiTheme="minorHAnsi" w:hAnsiTheme="minorHAnsi"/>
          <w:rtl/>
        </w:rPr>
        <w:t>11</w:t>
      </w:r>
      <w:r>
        <w:rPr>
          <w:rFonts w:asciiTheme="minorHAnsi" w:hAnsiTheme="minorHAnsi" w:hint="cs"/>
          <w:rtl/>
        </w:rPr>
        <w:t>6</w:t>
      </w:r>
      <w:r w:rsidRPr="003472FE">
        <w:rPr>
          <w:rFonts w:asciiTheme="minorHAnsi" w:hAnsiTheme="minorHAnsi"/>
          <w:rtl/>
        </w:rPr>
        <w:t xml:space="preserve">- </w:t>
      </w:r>
      <w:r w:rsidRPr="003472FE">
        <w:rPr>
          <w:rFonts w:asciiTheme="minorHAnsi" w:hAnsiTheme="minorHAnsi"/>
          <w:rtl/>
          <w:lang w:bidi="fa-IR"/>
        </w:rPr>
        <w:t xml:space="preserve">درن، ایو، نظم عمومی و حقوق قابل احرا در ماهیت دعوی در داوری بین‌المللی، ترجمه و تلخیص اشتری، محمد، مجله حقوقی بین‌المللی، </w:t>
      </w:r>
      <w:r>
        <w:rPr>
          <w:rFonts w:asciiTheme="minorHAnsi" w:hAnsiTheme="minorHAnsi"/>
          <w:rtl/>
          <w:lang w:bidi="fa-IR"/>
        </w:rPr>
        <w:t>شماره 9، پائیز-زمستان1367، ص189</w:t>
      </w:r>
      <w:r>
        <w:rPr>
          <w:rFonts w:asciiTheme="minorHAnsi" w:hAnsiTheme="minorHAnsi" w:hint="cs"/>
          <w:rtl/>
          <w:lang w:bidi="fa-IR"/>
        </w:rPr>
        <w:t>.</w:t>
      </w:r>
    </w:p>
    <w:p w:rsidR="00581BA0" w:rsidRPr="006C7F74" w:rsidRDefault="00581BA0" w:rsidP="006C7F74">
      <w:pPr>
        <w:pStyle w:val="FootnoteText"/>
        <w:jc w:val="left"/>
        <w:rPr>
          <w:rFonts w:asciiTheme="minorHAnsi" w:hAnsiTheme="minorHAnsi"/>
          <w:rtl/>
          <w:lang w:bidi="fa-IR"/>
        </w:rPr>
      </w:pPr>
      <w:r>
        <w:rPr>
          <w:rFonts w:asciiTheme="minorHAnsi" w:hAnsiTheme="minorHAnsi"/>
          <w:vertAlign w:val="superscript"/>
          <w:lang w:bidi="fa-IR"/>
        </w:rPr>
        <w:t>117</w:t>
      </w:r>
      <w:r w:rsidRPr="006C7F74">
        <w:rPr>
          <w:rFonts w:asciiTheme="minorHAnsi" w:hAnsiTheme="minorHAnsi"/>
          <w:vertAlign w:val="superscript"/>
          <w:lang w:bidi="fa-IR"/>
        </w:rPr>
        <w:t xml:space="preserve">- </w:t>
      </w:r>
      <w:r w:rsidRPr="006C7F74">
        <w:rPr>
          <w:rFonts w:asciiTheme="minorHAnsi" w:hAnsiTheme="minorHAnsi"/>
          <w:lang w:bidi="fa-IR"/>
        </w:rPr>
        <w:t>Cornu Gerard, Vocabulaire Juridique, 2end, (Paris: P.U.F.), 1990, p.684.</w:t>
      </w:r>
    </w:p>
  </w:footnote>
  <w:footnote w:id="117">
    <w:p w:rsidR="00581BA0" w:rsidRDefault="00581BA0" w:rsidP="00F500C0">
      <w:pPr>
        <w:pStyle w:val="FootnoteText"/>
        <w:ind w:right="1080"/>
        <w:jc w:val="both"/>
        <w:rPr>
          <w:lang w:bidi="fa-IR"/>
        </w:rPr>
      </w:pPr>
    </w:p>
  </w:footnote>
  <w:footnote w:id="118">
    <w:p w:rsidR="00581BA0" w:rsidRPr="003472FE" w:rsidRDefault="00581BA0" w:rsidP="00033961">
      <w:pPr>
        <w:pStyle w:val="FootnoteText"/>
        <w:tabs>
          <w:tab w:val="right" w:pos="7920"/>
        </w:tabs>
        <w:bidi/>
        <w:jc w:val="left"/>
        <w:rPr>
          <w:rtl/>
          <w:lang w:bidi="fa-IR"/>
        </w:rPr>
      </w:pPr>
      <w:r w:rsidRPr="003472FE">
        <w:rPr>
          <w:rFonts w:hint="cs"/>
          <w:rtl/>
        </w:rPr>
        <w:t>11</w:t>
      </w:r>
      <w:r>
        <w:rPr>
          <w:rFonts w:hint="cs"/>
          <w:rtl/>
        </w:rPr>
        <w:t>8</w:t>
      </w:r>
      <w:r w:rsidRPr="003472FE">
        <w:rPr>
          <w:rFonts w:hint="cs"/>
          <w:rtl/>
        </w:rPr>
        <w:t xml:space="preserve">- </w:t>
      </w:r>
      <w:r w:rsidRPr="003472FE">
        <w:rPr>
          <w:rFonts w:hint="cs"/>
          <w:rtl/>
          <w:lang w:bidi="fa-IR"/>
        </w:rPr>
        <w:t>صادقی، محسن، منبع پیشین، ص97.</w:t>
      </w:r>
    </w:p>
  </w:footnote>
  <w:footnote w:id="119">
    <w:p w:rsidR="00581BA0" w:rsidRDefault="00581BA0" w:rsidP="00033961">
      <w:pPr>
        <w:pStyle w:val="FootnoteText"/>
        <w:tabs>
          <w:tab w:val="right" w:pos="7920"/>
        </w:tabs>
        <w:bidi/>
        <w:jc w:val="left"/>
        <w:rPr>
          <w:rtl/>
          <w:lang w:bidi="fa-IR"/>
        </w:rPr>
      </w:pPr>
      <w:r w:rsidRPr="003472FE">
        <w:rPr>
          <w:rFonts w:hint="cs"/>
          <w:rtl/>
        </w:rPr>
        <w:t>11</w:t>
      </w:r>
      <w:r>
        <w:rPr>
          <w:rFonts w:hint="cs"/>
          <w:rtl/>
        </w:rPr>
        <w:t>9</w:t>
      </w:r>
      <w:r w:rsidRPr="003472FE">
        <w:rPr>
          <w:rFonts w:hint="cs"/>
          <w:rtl/>
        </w:rPr>
        <w:t xml:space="preserve">- </w:t>
      </w:r>
      <w:r w:rsidRPr="003472FE">
        <w:rPr>
          <w:rFonts w:hint="cs"/>
          <w:rtl/>
          <w:lang w:bidi="fa-IR"/>
        </w:rPr>
        <w:t>درن، ایو، منبع پیشین، ص190.</w:t>
      </w:r>
    </w:p>
  </w:footnote>
  <w:footnote w:id="120">
    <w:p w:rsidR="00581BA0" w:rsidRPr="003472FE" w:rsidRDefault="00581BA0" w:rsidP="006C7F74">
      <w:pPr>
        <w:pStyle w:val="FootnoteText"/>
        <w:jc w:val="left"/>
        <w:rPr>
          <w:rFonts w:asciiTheme="minorHAnsi" w:hAnsiTheme="minorHAnsi"/>
          <w:rtl/>
          <w:lang w:bidi="fa-IR"/>
        </w:rPr>
      </w:pPr>
      <w:r w:rsidRPr="003472FE">
        <w:rPr>
          <w:rStyle w:val="FootnoteReference"/>
          <w:rFonts w:asciiTheme="minorHAnsi" w:hAnsiTheme="minorHAnsi"/>
        </w:rPr>
        <w:footnoteRef/>
      </w:r>
      <w:r w:rsidRPr="003472FE">
        <w:rPr>
          <w:rFonts w:asciiTheme="minorHAnsi" w:hAnsiTheme="minorHAnsi"/>
        </w:rPr>
        <w:t xml:space="preserve">- </w:t>
      </w:r>
      <w:r>
        <w:rPr>
          <w:rFonts w:asciiTheme="minorHAnsi" w:hAnsiTheme="minorHAnsi"/>
          <w:lang w:bidi="fa-IR"/>
        </w:rPr>
        <w:t>Albert Jan, Van den Berg</w:t>
      </w:r>
      <w:r w:rsidRPr="003472FE">
        <w:rPr>
          <w:rFonts w:asciiTheme="minorHAnsi" w:hAnsiTheme="minorHAnsi"/>
          <w:lang w:bidi="fa-IR"/>
        </w:rPr>
        <w:t>, “The Efficacy of Award in International Commercial Arbitration” in Arbitration Insights, Kluwer Law International, 2007, p.361.</w:t>
      </w:r>
    </w:p>
  </w:footnote>
  <w:footnote w:id="121">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Lu, op.cit., p.772.</w:t>
      </w:r>
    </w:p>
  </w:footnote>
  <w:footnote w:id="122">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Ibid.</w:t>
      </w:r>
    </w:p>
  </w:footnote>
  <w:footnote w:id="123">
    <w:p w:rsidR="00581BA0" w:rsidRDefault="00581BA0" w:rsidP="006C7F74">
      <w:pPr>
        <w:pStyle w:val="FootnoteText"/>
        <w:jc w:val="left"/>
        <w:rPr>
          <w:rtl/>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Goldman</w:t>
      </w:r>
    </w:p>
  </w:footnote>
  <w:footnote w:id="124">
    <w:p w:rsidR="00581BA0" w:rsidRPr="003472FE" w:rsidRDefault="00581BA0" w:rsidP="00033961">
      <w:pPr>
        <w:pStyle w:val="FootnoteText"/>
        <w:tabs>
          <w:tab w:val="right" w:pos="7830"/>
        </w:tabs>
        <w:bidi/>
        <w:jc w:val="both"/>
        <w:rPr>
          <w:rtl/>
          <w:lang w:bidi="fa-IR"/>
        </w:rPr>
      </w:pPr>
      <w:r w:rsidRPr="003472FE">
        <w:rPr>
          <w:rFonts w:hint="cs"/>
          <w:rtl/>
        </w:rPr>
        <w:t>12</w:t>
      </w:r>
      <w:r>
        <w:rPr>
          <w:rFonts w:hint="cs"/>
          <w:rtl/>
        </w:rPr>
        <w:t>4</w:t>
      </w:r>
      <w:r w:rsidRPr="003472FE">
        <w:rPr>
          <w:rFonts w:hint="cs"/>
          <w:rtl/>
        </w:rPr>
        <w:t xml:space="preserve">- </w:t>
      </w:r>
      <w:r w:rsidRPr="003472FE">
        <w:rPr>
          <w:rFonts w:hint="cs"/>
          <w:rtl/>
          <w:lang w:bidi="fa-IR"/>
        </w:rPr>
        <w:t>جنیدی، لعیا،</w:t>
      </w:r>
      <w:r w:rsidRPr="003472FE">
        <w:rPr>
          <w:lang w:bidi="fa-IR"/>
        </w:rPr>
        <w:t xml:space="preserve"> </w:t>
      </w:r>
      <w:r w:rsidRPr="003472FE">
        <w:rPr>
          <w:rFonts w:hint="cs"/>
          <w:b/>
          <w:bCs/>
          <w:rtl/>
          <w:lang w:bidi="fa-IR"/>
        </w:rPr>
        <w:t>قانون حاکم بر داوری‌های تجاری بین‌المللی</w:t>
      </w:r>
      <w:r w:rsidRPr="003472FE">
        <w:rPr>
          <w:rFonts w:hint="cs"/>
          <w:rtl/>
          <w:lang w:bidi="fa-IR"/>
        </w:rPr>
        <w:t xml:space="preserve">، نشر دادگستر، 1376، تهران، صص59-60 و ص31. </w:t>
      </w:r>
    </w:p>
  </w:footnote>
  <w:footnote w:id="125">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Lex Mercatoria</w:t>
      </w:r>
    </w:p>
  </w:footnote>
  <w:footnote w:id="126">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w:t>
      </w:r>
      <w:r w:rsidRPr="003472FE">
        <w:rPr>
          <w:rFonts w:asciiTheme="minorHAnsi" w:hAnsiTheme="minorHAnsi"/>
          <w:lang w:bidi="fa-IR"/>
        </w:rPr>
        <w:t xml:space="preserve"> Curtin Kenneth, Michael, “Redefining Public Policy in International Arbitration of Mandatory National Laws”, Defense Counsel Journal, Vol.64, 1997.p.281.</w:t>
      </w:r>
    </w:p>
  </w:footnote>
  <w:footnote w:id="127">
    <w:p w:rsidR="00581BA0" w:rsidRDefault="00581BA0" w:rsidP="006C7F74">
      <w:pPr>
        <w:pStyle w:val="FootnoteText"/>
        <w:jc w:val="left"/>
        <w:rPr>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Okekeifere Andrew I, “Public Policy and Arbitrability under the UNCITRAL Model Law”, International Arbitration Law Review, 1999, p.5-15.</w:t>
      </w:r>
    </w:p>
  </w:footnote>
  <w:footnote w:id="128">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Bockstiegel, op.cit., p.7.</w:t>
      </w:r>
    </w:p>
  </w:footnote>
  <w:footnote w:id="129">
    <w:p w:rsidR="00581BA0" w:rsidRPr="003472FE" w:rsidRDefault="00581BA0" w:rsidP="006C7F74">
      <w:pPr>
        <w:pStyle w:val="FootnoteText"/>
        <w:jc w:val="left"/>
        <w:rPr>
          <w:rFonts w:asciiTheme="minorHAnsi" w:hAnsiTheme="minorHAnsi"/>
          <w:rtl/>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Ibid.</w:t>
      </w:r>
    </w:p>
  </w:footnote>
  <w:footnote w:id="130">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Gaillard &amp; Savage, op.cit., p.975.</w:t>
      </w:r>
    </w:p>
  </w:footnote>
  <w:footnote w:id="131">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Van den Berg, Albert Jan, The New York Arbitration Convention of 1958, Kluwer Law and Taxation Publishers, 1981, pp.300-302.</w:t>
      </w:r>
    </w:p>
  </w:footnote>
  <w:footnote w:id="132">
    <w:p w:rsidR="00581BA0" w:rsidRDefault="00581BA0" w:rsidP="006C7F74">
      <w:pPr>
        <w:pStyle w:val="FootnoteText"/>
        <w:jc w:val="left"/>
        <w:rPr>
          <w:lang w:bidi="fa-IR"/>
        </w:rPr>
      </w:pPr>
      <w:r w:rsidRPr="003472FE">
        <w:rPr>
          <w:rStyle w:val="FootnoteReference"/>
          <w:rFonts w:asciiTheme="minorHAnsi" w:hAnsiTheme="minorHAnsi"/>
        </w:rPr>
        <w:footnoteRef/>
      </w:r>
      <w:r w:rsidRPr="003472FE">
        <w:rPr>
          <w:rFonts w:asciiTheme="minorHAnsi" w:hAnsiTheme="minorHAnsi"/>
        </w:rPr>
        <w:t>-</w:t>
      </w:r>
      <w:r w:rsidRPr="003472FE">
        <w:rPr>
          <w:rFonts w:asciiTheme="minorHAnsi" w:hAnsiTheme="minorHAnsi"/>
          <w:lang w:bidi="fa-IR"/>
        </w:rPr>
        <w:t xml:space="preserve"> Lu, May, op.cit.,p.755.</w:t>
      </w:r>
    </w:p>
  </w:footnote>
  <w:footnote w:id="133">
    <w:p w:rsidR="00581BA0" w:rsidRPr="003472FE" w:rsidRDefault="00581BA0" w:rsidP="00033961">
      <w:pPr>
        <w:pStyle w:val="FootnoteText"/>
        <w:bidi/>
        <w:jc w:val="left"/>
        <w:rPr>
          <w:rtl/>
          <w:lang w:bidi="fa-IR"/>
        </w:rPr>
      </w:pPr>
      <w:r w:rsidRPr="003472FE">
        <w:rPr>
          <w:rFonts w:hint="cs"/>
          <w:rtl/>
          <w:lang w:bidi="fa-IR"/>
        </w:rPr>
        <w:t>13</w:t>
      </w:r>
      <w:r>
        <w:rPr>
          <w:rFonts w:hint="cs"/>
          <w:rtl/>
          <w:lang w:bidi="fa-IR"/>
        </w:rPr>
        <w:t>3</w:t>
      </w:r>
      <w:r w:rsidRPr="003472FE">
        <w:rPr>
          <w:rFonts w:hint="cs"/>
          <w:rtl/>
          <w:lang w:bidi="fa-IR"/>
        </w:rPr>
        <w:t xml:space="preserve">- جنیدی، لعیا، </w:t>
      </w:r>
      <w:r w:rsidRPr="003472FE">
        <w:rPr>
          <w:rFonts w:hint="cs"/>
          <w:b/>
          <w:bCs/>
          <w:rtl/>
          <w:lang w:bidi="fa-IR"/>
        </w:rPr>
        <w:t>اجرای احکام داوری بازرگانی خارجی</w:t>
      </w:r>
      <w:r w:rsidRPr="003472FE">
        <w:rPr>
          <w:rFonts w:hint="cs"/>
          <w:rtl/>
          <w:lang w:bidi="fa-IR"/>
        </w:rPr>
        <w:t>، نشر شهر دانش، 1381، تهران، ص266.</w:t>
      </w:r>
    </w:p>
  </w:footnote>
  <w:footnote w:id="134">
    <w:p w:rsidR="00581BA0" w:rsidRPr="003472FE" w:rsidRDefault="00581BA0" w:rsidP="006C7F74">
      <w:pPr>
        <w:pStyle w:val="FootnoteText"/>
        <w:tabs>
          <w:tab w:val="left" w:pos="7920"/>
        </w:tabs>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Saleh Samir, “The Recognition of Foreign Arbitral Award in the States of the Arab Middle East”, in Law. Contemporary Problems in International Arbitration, Martinus Nhjhoff Publishers, 1986, p.384.</w:t>
      </w:r>
    </w:p>
  </w:footnote>
  <w:footnote w:id="135">
    <w:p w:rsidR="00581BA0" w:rsidRPr="003472FE" w:rsidRDefault="00581BA0" w:rsidP="00033961">
      <w:pPr>
        <w:pStyle w:val="FootnoteText"/>
        <w:bidi/>
        <w:jc w:val="left"/>
        <w:rPr>
          <w:rtl/>
          <w:lang w:bidi="fa-IR"/>
        </w:rPr>
      </w:pPr>
      <w:r>
        <w:rPr>
          <w:rFonts w:hint="cs"/>
          <w:rtl/>
        </w:rPr>
        <w:t>135</w:t>
      </w:r>
      <w:r w:rsidRPr="003472FE">
        <w:rPr>
          <w:rFonts w:hint="cs"/>
          <w:rtl/>
        </w:rPr>
        <w:t xml:space="preserve">- </w:t>
      </w:r>
      <w:r w:rsidRPr="003472FE">
        <w:rPr>
          <w:rFonts w:hint="cs"/>
          <w:rtl/>
          <w:lang w:bidi="fa-IR"/>
        </w:rPr>
        <w:t>جنیدی، لعیا، منبع پیشین، ص268.</w:t>
      </w:r>
    </w:p>
  </w:footnote>
  <w:footnote w:id="136">
    <w:p w:rsidR="00581BA0" w:rsidRDefault="00581BA0" w:rsidP="00033961">
      <w:pPr>
        <w:pStyle w:val="FootnoteText"/>
        <w:bidi/>
        <w:jc w:val="left"/>
        <w:rPr>
          <w:rtl/>
          <w:lang w:bidi="fa-IR"/>
        </w:rPr>
      </w:pPr>
      <w:r>
        <w:rPr>
          <w:rFonts w:hint="cs"/>
          <w:rtl/>
        </w:rPr>
        <w:t>136</w:t>
      </w:r>
      <w:r w:rsidRPr="003472FE">
        <w:rPr>
          <w:rFonts w:hint="cs"/>
          <w:rtl/>
        </w:rPr>
        <w:t xml:space="preserve">- </w:t>
      </w:r>
      <w:r w:rsidRPr="003472FE">
        <w:rPr>
          <w:rFonts w:hint="cs"/>
          <w:rtl/>
          <w:lang w:bidi="fa-IR"/>
        </w:rPr>
        <w:t>همان، صص 268-269.</w:t>
      </w:r>
    </w:p>
  </w:footnote>
  <w:footnote w:id="137">
    <w:p w:rsidR="00581BA0" w:rsidRPr="003472FE" w:rsidRDefault="00581BA0" w:rsidP="006C7F74">
      <w:pPr>
        <w:pStyle w:val="FootnoteText"/>
        <w:jc w:val="both"/>
        <w:rPr>
          <w:rFonts w:asciiTheme="minorHAnsi" w:hAnsiTheme="minorHAnsi" w:cs="Times New Roman"/>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Bockstiegel, op.cit., p.8.</w:t>
      </w:r>
    </w:p>
  </w:footnote>
  <w:footnote w:id="138">
    <w:p w:rsidR="00581BA0" w:rsidRPr="003472FE" w:rsidRDefault="00581BA0" w:rsidP="00033961">
      <w:pPr>
        <w:pStyle w:val="FootnoteText"/>
        <w:bidi/>
        <w:jc w:val="both"/>
        <w:rPr>
          <w:rtl/>
          <w:lang w:bidi="fa-IR"/>
        </w:rPr>
      </w:pPr>
      <w:r>
        <w:rPr>
          <w:rFonts w:hint="cs"/>
          <w:rtl/>
        </w:rPr>
        <w:t>138</w:t>
      </w:r>
      <w:r w:rsidRPr="003472FE">
        <w:rPr>
          <w:rFonts w:hint="cs"/>
          <w:rtl/>
        </w:rPr>
        <w:t xml:space="preserve">- </w:t>
      </w:r>
      <w:r w:rsidRPr="003472FE">
        <w:rPr>
          <w:rFonts w:hint="cs"/>
          <w:rtl/>
          <w:lang w:bidi="fa-IR"/>
        </w:rPr>
        <w:t xml:space="preserve">افتخار جهرمی، گودرز،« دیوان داوری دعاوی ایران-آمریکا»، </w:t>
      </w:r>
      <w:r w:rsidRPr="003472FE">
        <w:rPr>
          <w:rFonts w:hint="cs"/>
          <w:b/>
          <w:bCs/>
          <w:rtl/>
          <w:lang w:bidi="fa-IR"/>
        </w:rPr>
        <w:t>مجله حقوقی بین‌المللی</w:t>
      </w:r>
      <w:r w:rsidRPr="003472FE">
        <w:rPr>
          <w:rFonts w:hint="cs"/>
          <w:rtl/>
          <w:lang w:bidi="fa-IR"/>
        </w:rPr>
        <w:t>، شماره 16 و 17،تهران1371-1372، ص69.</w:t>
      </w:r>
    </w:p>
  </w:footnote>
  <w:footnote w:id="139">
    <w:p w:rsidR="00581BA0" w:rsidRPr="003472FE" w:rsidRDefault="00581BA0" w:rsidP="006C7F74">
      <w:pPr>
        <w:pStyle w:val="FootnoteText"/>
        <w:jc w:val="left"/>
        <w:rPr>
          <w:rFonts w:asciiTheme="minorHAnsi" w:hAnsiTheme="minorHAnsi"/>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Gaillard &amp; Savage, op.cit., p.p.961-963.</w:t>
      </w:r>
    </w:p>
  </w:footnote>
  <w:footnote w:id="140">
    <w:p w:rsidR="00581BA0" w:rsidRDefault="00581BA0" w:rsidP="006C7F74">
      <w:pPr>
        <w:pStyle w:val="FootnoteText"/>
        <w:jc w:val="left"/>
        <w:rPr>
          <w:lang w:bidi="fa-IR"/>
        </w:rPr>
      </w:pPr>
      <w:r w:rsidRPr="003472FE">
        <w:rPr>
          <w:rStyle w:val="FootnoteReference"/>
          <w:rFonts w:asciiTheme="minorHAnsi" w:hAnsiTheme="minorHAnsi"/>
        </w:rPr>
        <w:footnoteRef/>
      </w:r>
      <w:r w:rsidRPr="003472FE">
        <w:rPr>
          <w:rFonts w:asciiTheme="minorHAnsi" w:hAnsiTheme="minorHAnsi"/>
        </w:rPr>
        <w:t xml:space="preserve">- </w:t>
      </w:r>
      <w:r w:rsidRPr="003472FE">
        <w:rPr>
          <w:rFonts w:asciiTheme="minorHAnsi" w:hAnsiTheme="minorHAnsi"/>
          <w:lang w:bidi="fa-IR"/>
        </w:rPr>
        <w:t>Saleh, op.cit., p.348.</w:t>
      </w:r>
    </w:p>
  </w:footnote>
  <w:footnote w:id="141">
    <w:p w:rsidR="00581BA0" w:rsidRPr="00BE0B2D" w:rsidRDefault="00581BA0" w:rsidP="00BE0B2D">
      <w:pPr>
        <w:pStyle w:val="FootnoteText"/>
        <w:tabs>
          <w:tab w:val="left" w:pos="90"/>
        </w:tabs>
        <w:jc w:val="left"/>
        <w:rPr>
          <w:rFonts w:asciiTheme="minorHAnsi" w:hAnsiTheme="minorHAnsi"/>
          <w:lang w:bidi="fa-IR"/>
        </w:rPr>
      </w:pPr>
      <w:r w:rsidRPr="00BE0B2D">
        <w:rPr>
          <w:rStyle w:val="FootnoteReference"/>
          <w:rFonts w:asciiTheme="minorHAnsi" w:hAnsiTheme="minorHAnsi"/>
        </w:rPr>
        <w:footnoteRef/>
      </w:r>
      <w:r w:rsidRPr="00BE0B2D">
        <w:rPr>
          <w:rFonts w:asciiTheme="minorHAnsi" w:hAnsiTheme="minorHAnsi"/>
        </w:rPr>
        <w:t xml:space="preserve">- </w:t>
      </w:r>
      <w:r w:rsidRPr="00BE0B2D">
        <w:rPr>
          <w:rFonts w:asciiTheme="minorHAnsi" w:hAnsiTheme="minorHAnsi"/>
          <w:lang w:bidi="fa-IR"/>
        </w:rPr>
        <w:t>Egerton -v- Brownlow, (1853), 4 HLC 1.</w:t>
      </w:r>
    </w:p>
  </w:footnote>
  <w:footnote w:id="142">
    <w:p w:rsidR="00581BA0" w:rsidRPr="00BE0B2D" w:rsidRDefault="00581BA0" w:rsidP="00BE0B2D">
      <w:pPr>
        <w:pStyle w:val="FootnoteText"/>
        <w:tabs>
          <w:tab w:val="left" w:pos="90"/>
        </w:tabs>
        <w:jc w:val="left"/>
        <w:rPr>
          <w:rFonts w:asciiTheme="minorHAnsi" w:hAnsiTheme="minorHAnsi" w:cstheme="majorBidi"/>
        </w:rPr>
      </w:pPr>
      <w:r w:rsidRPr="00BE0B2D">
        <w:rPr>
          <w:rStyle w:val="FootnoteReference"/>
          <w:rFonts w:asciiTheme="minorHAnsi" w:hAnsiTheme="minorHAnsi"/>
        </w:rPr>
        <w:footnoteRef/>
      </w:r>
      <w:r w:rsidRPr="00BE0B2D">
        <w:rPr>
          <w:rFonts w:asciiTheme="minorHAnsi" w:hAnsiTheme="minorHAnsi"/>
        </w:rPr>
        <w:t xml:space="preserve">- </w:t>
      </w:r>
      <w:r w:rsidRPr="00BE0B2D">
        <w:rPr>
          <w:rFonts w:asciiTheme="minorHAnsi" w:hAnsiTheme="minorHAnsi" w:cstheme="majorBidi"/>
        </w:rPr>
        <w:t xml:space="preserve">Deutsche Schachtbau-und Tiefbohrgesellscaft mbh -v- Ras Al Khaimah National Oil Company, </w:t>
      </w:r>
    </w:p>
    <w:p w:rsidR="00581BA0" w:rsidRPr="00BE0B2D" w:rsidRDefault="00581BA0" w:rsidP="00BE0B2D">
      <w:pPr>
        <w:pStyle w:val="FootnoteText"/>
        <w:tabs>
          <w:tab w:val="left" w:pos="90"/>
        </w:tabs>
        <w:jc w:val="left"/>
        <w:rPr>
          <w:rFonts w:asciiTheme="minorHAnsi" w:hAnsiTheme="minorHAnsi"/>
          <w:lang w:bidi="fa-IR"/>
        </w:rPr>
      </w:pPr>
      <w:r w:rsidRPr="00BE0B2D">
        <w:rPr>
          <w:rFonts w:asciiTheme="minorHAnsi" w:hAnsiTheme="minorHAnsi" w:cstheme="majorBidi"/>
          <w:rtl/>
        </w:rPr>
        <w:t>)</w:t>
      </w:r>
      <w:r w:rsidRPr="00BE0B2D">
        <w:rPr>
          <w:rFonts w:asciiTheme="minorHAnsi" w:hAnsiTheme="minorHAnsi" w:cstheme="majorBidi"/>
        </w:rPr>
        <w:t>1987</w:t>
      </w:r>
      <w:r w:rsidRPr="00BE0B2D">
        <w:rPr>
          <w:rFonts w:asciiTheme="minorHAnsi" w:hAnsiTheme="minorHAnsi" w:cstheme="majorBidi"/>
          <w:rtl/>
        </w:rPr>
        <w:t>(</w:t>
      </w:r>
      <w:r w:rsidRPr="00BE0B2D">
        <w:rPr>
          <w:rFonts w:asciiTheme="minorHAnsi" w:hAnsiTheme="minorHAnsi" w:cstheme="majorBidi"/>
        </w:rPr>
        <w:t>, 2 Lloyd’s Rep. 246 at 254.</w:t>
      </w:r>
    </w:p>
  </w:footnote>
  <w:footnote w:id="143">
    <w:p w:rsidR="00581BA0" w:rsidRPr="00A2273D" w:rsidRDefault="00581BA0" w:rsidP="00BE0B2D">
      <w:pPr>
        <w:pStyle w:val="FootnoteText"/>
        <w:tabs>
          <w:tab w:val="left" w:pos="90"/>
        </w:tabs>
        <w:jc w:val="left"/>
        <w:rPr>
          <w:rFonts w:cstheme="majorBidi"/>
          <w:lang w:bidi="fa-IR"/>
        </w:rPr>
      </w:pPr>
      <w:r w:rsidRPr="00BE0B2D">
        <w:rPr>
          <w:rStyle w:val="FootnoteReference"/>
          <w:rFonts w:asciiTheme="minorHAnsi" w:hAnsiTheme="minorHAnsi" w:cstheme="majorBidi"/>
        </w:rPr>
        <w:footnoteRef/>
      </w:r>
      <w:r w:rsidRPr="00BE0B2D">
        <w:rPr>
          <w:rFonts w:asciiTheme="minorHAnsi" w:hAnsiTheme="minorHAnsi" w:cstheme="majorBidi"/>
        </w:rPr>
        <w:t>-</w:t>
      </w:r>
      <w:r w:rsidRPr="00BE0B2D">
        <w:rPr>
          <w:rFonts w:asciiTheme="minorHAnsi" w:hAnsiTheme="minorHAnsi" w:cstheme="majorBidi"/>
          <w:lang w:bidi="fa-IR"/>
        </w:rPr>
        <w:t xml:space="preserve"> Joseph Smith</w:t>
      </w:r>
    </w:p>
  </w:footnote>
  <w:footnote w:id="144">
    <w:p w:rsidR="00581BA0" w:rsidRPr="00BE0B2D" w:rsidRDefault="00581BA0" w:rsidP="00BE0B2D">
      <w:pPr>
        <w:pStyle w:val="FootnoteText"/>
        <w:tabs>
          <w:tab w:val="left" w:pos="90"/>
        </w:tabs>
        <w:jc w:val="left"/>
        <w:rPr>
          <w:rFonts w:asciiTheme="minorHAnsi" w:hAnsiTheme="minorHAnsi"/>
          <w:lang w:bidi="fa-IR"/>
        </w:rPr>
      </w:pPr>
      <w:r w:rsidRPr="00BE0B2D">
        <w:rPr>
          <w:rStyle w:val="FootnoteReference"/>
          <w:rFonts w:asciiTheme="minorHAnsi" w:hAnsiTheme="minorHAnsi"/>
        </w:rPr>
        <w:footnoteRef/>
      </w:r>
      <w:r w:rsidRPr="00BE0B2D">
        <w:rPr>
          <w:rFonts w:asciiTheme="minorHAnsi" w:hAnsiTheme="minorHAnsi"/>
        </w:rPr>
        <w:t xml:space="preserve">- </w:t>
      </w:r>
      <w:r w:rsidRPr="00BE0B2D">
        <w:rPr>
          <w:rFonts w:asciiTheme="minorHAnsi" w:hAnsiTheme="minorHAnsi" w:cstheme="majorBidi"/>
          <w:lang w:bidi="fa-IR"/>
        </w:rPr>
        <w:t>Parsons &amp; Whittemore Overseas Co., Inc. -v- Société Générale de l’Industrie du Papier RAKTand Bank of America, 508 F. 2d 969 (2nd Cir., 1974).</w:t>
      </w:r>
    </w:p>
  </w:footnote>
  <w:footnote w:id="145">
    <w:p w:rsidR="00581BA0" w:rsidRPr="00BE0B2D" w:rsidRDefault="00581BA0" w:rsidP="00BE0B2D">
      <w:pPr>
        <w:pStyle w:val="FootnoteText"/>
        <w:tabs>
          <w:tab w:val="left" w:pos="90"/>
        </w:tabs>
        <w:jc w:val="left"/>
        <w:rPr>
          <w:rFonts w:asciiTheme="minorHAnsi" w:hAnsiTheme="minorHAnsi" w:cstheme="majorBidi"/>
          <w:lang w:bidi="fa-IR"/>
        </w:rPr>
      </w:pPr>
      <w:r w:rsidRPr="00BE0B2D">
        <w:rPr>
          <w:rStyle w:val="FootnoteReference"/>
          <w:rFonts w:asciiTheme="minorHAnsi" w:hAnsiTheme="minorHAnsi" w:cstheme="majorBidi"/>
        </w:rPr>
        <w:footnoteRef/>
      </w:r>
      <w:r w:rsidRPr="00BE0B2D">
        <w:rPr>
          <w:rFonts w:asciiTheme="minorHAnsi" w:hAnsiTheme="minorHAnsi" w:cstheme="majorBidi"/>
        </w:rPr>
        <w:t>-</w:t>
      </w:r>
      <w:r w:rsidRPr="00BE0B2D">
        <w:rPr>
          <w:rFonts w:asciiTheme="minorHAnsi" w:hAnsiTheme="minorHAnsi" w:cstheme="majorBidi"/>
          <w:lang w:bidi="fa-IR"/>
        </w:rPr>
        <w:t xml:space="preserve"> El-Ahdab, “General Introduction on Arbitration in Arab Countries”, International Handbook on</w:t>
      </w:r>
    </w:p>
    <w:p w:rsidR="00581BA0" w:rsidRPr="00BE0B2D" w:rsidRDefault="00581BA0" w:rsidP="00BE0B2D">
      <w:pPr>
        <w:pStyle w:val="FootnoteText"/>
        <w:tabs>
          <w:tab w:val="left" w:pos="90"/>
        </w:tabs>
        <w:jc w:val="left"/>
        <w:rPr>
          <w:rFonts w:asciiTheme="minorHAnsi" w:hAnsiTheme="minorHAnsi"/>
          <w:lang w:bidi="fa-IR"/>
        </w:rPr>
      </w:pPr>
      <w:r w:rsidRPr="00BE0B2D">
        <w:rPr>
          <w:rFonts w:asciiTheme="minorHAnsi" w:hAnsiTheme="minorHAnsi" w:cstheme="majorBidi"/>
          <w:lang w:bidi="fa-IR"/>
        </w:rPr>
        <w:t>Commercial Arbitration (hereinafter “Handbook”) (Kluwer), Suppl. 27, Dec. 1998, Annex 1, p.12.</w:t>
      </w:r>
    </w:p>
  </w:footnote>
  <w:footnote w:id="146">
    <w:p w:rsidR="00581BA0" w:rsidRPr="007E221C" w:rsidRDefault="00581BA0" w:rsidP="00BE0B2D">
      <w:pPr>
        <w:pStyle w:val="FootnoteText"/>
        <w:tabs>
          <w:tab w:val="left" w:pos="90"/>
        </w:tabs>
        <w:jc w:val="left"/>
        <w:rPr>
          <w:rFonts w:cstheme="majorBidi"/>
          <w:lang w:bidi="fa-IR"/>
        </w:rPr>
      </w:pPr>
      <w:r w:rsidRPr="00BE0B2D">
        <w:rPr>
          <w:rStyle w:val="FootnoteReference"/>
          <w:rFonts w:asciiTheme="minorHAnsi" w:hAnsiTheme="minorHAnsi" w:cstheme="majorBidi"/>
        </w:rPr>
        <w:footnoteRef/>
      </w:r>
      <w:r w:rsidRPr="00BE0B2D">
        <w:rPr>
          <w:rFonts w:asciiTheme="minorHAnsi" w:hAnsiTheme="minorHAnsi" w:cstheme="majorBidi"/>
        </w:rPr>
        <w:t>-</w:t>
      </w:r>
      <w:r w:rsidRPr="00BE0B2D">
        <w:rPr>
          <w:rFonts w:asciiTheme="minorHAnsi" w:hAnsiTheme="minorHAnsi" w:cstheme="majorBidi"/>
          <w:lang w:bidi="fa-IR"/>
        </w:rPr>
        <w:t xml:space="preserve"> van den Berg, Albert Jan, “Refusals of Enforcement under the New York Convention of 1958:</w:t>
      </w:r>
      <w:r w:rsidRPr="00BE0B2D">
        <w:rPr>
          <w:rFonts w:asciiTheme="minorHAnsi" w:hAnsiTheme="minorHAnsi" w:cstheme="majorBidi"/>
          <w:rtl/>
          <w:lang w:bidi="fa-IR"/>
        </w:rPr>
        <w:t xml:space="preserve"> </w:t>
      </w:r>
      <w:r w:rsidRPr="00BE0B2D">
        <w:rPr>
          <w:rFonts w:asciiTheme="minorHAnsi" w:hAnsiTheme="minorHAnsi" w:cstheme="majorBidi"/>
          <w:lang w:bidi="fa-IR"/>
        </w:rPr>
        <w:t>the</w:t>
      </w:r>
      <w:r w:rsidRPr="00BE0B2D">
        <w:rPr>
          <w:rFonts w:asciiTheme="minorHAnsi" w:hAnsiTheme="minorHAnsi" w:cstheme="majorBidi"/>
          <w:rtl/>
          <w:lang w:bidi="fa-IR"/>
        </w:rPr>
        <w:t xml:space="preserve"> </w:t>
      </w:r>
      <w:r w:rsidRPr="00BE0B2D">
        <w:rPr>
          <w:rFonts w:asciiTheme="minorHAnsi" w:hAnsiTheme="minorHAnsi" w:cstheme="majorBidi"/>
          <w:lang w:bidi="fa-IR"/>
        </w:rPr>
        <w:t>Unfortunate Few” in Arbitration in the Next Decade (ICC Bulletin - 1999 Special Supplement), p. 86.</w:t>
      </w:r>
    </w:p>
  </w:footnote>
  <w:footnote w:id="147">
    <w:p w:rsidR="00581BA0" w:rsidRPr="00BE0B2D" w:rsidRDefault="00581BA0" w:rsidP="00BE0B2D">
      <w:pPr>
        <w:pStyle w:val="FootnoteText"/>
        <w:jc w:val="left"/>
        <w:rPr>
          <w:rFonts w:asciiTheme="minorHAnsi" w:hAnsiTheme="minorHAnsi"/>
          <w:lang w:bidi="fa-IR"/>
        </w:rPr>
      </w:pPr>
      <w:r w:rsidRPr="00BE0B2D">
        <w:rPr>
          <w:rStyle w:val="FootnoteReference"/>
          <w:rFonts w:asciiTheme="minorHAnsi" w:hAnsiTheme="minorHAnsi" w:cstheme="majorBidi"/>
        </w:rPr>
        <w:footnoteRef/>
      </w:r>
      <w:r w:rsidRPr="00BE0B2D">
        <w:rPr>
          <w:rFonts w:asciiTheme="minorHAnsi" w:hAnsiTheme="minorHAnsi" w:cstheme="majorBidi"/>
          <w:lang w:bidi="fa-IR"/>
        </w:rPr>
        <w:t>- Fouchard, Gaillard and Goldman on International Commercial Arbitration (ed. Gaillard and Savage) (Kluwer, 1999), paras. 1645-1662.</w:t>
      </w:r>
    </w:p>
  </w:footnote>
  <w:footnote w:id="148">
    <w:p w:rsidR="00581BA0" w:rsidRPr="00BE0B2D" w:rsidRDefault="00581BA0" w:rsidP="00F15DD1">
      <w:pPr>
        <w:pStyle w:val="FootnoteText"/>
        <w:bidi/>
        <w:jc w:val="left"/>
        <w:rPr>
          <w:rFonts w:asciiTheme="minorHAnsi" w:hAnsiTheme="minorHAnsi"/>
          <w:rtl/>
          <w:lang w:bidi="fa-IR"/>
        </w:rPr>
      </w:pPr>
      <w:r>
        <w:rPr>
          <w:rFonts w:asciiTheme="minorHAnsi" w:hAnsiTheme="minorHAnsi" w:hint="cs"/>
          <w:rtl/>
          <w:lang w:bidi="fa-IR"/>
        </w:rPr>
        <w:t>148</w:t>
      </w:r>
      <w:r w:rsidRPr="00BE0B2D">
        <w:rPr>
          <w:rFonts w:asciiTheme="minorHAnsi" w:hAnsiTheme="minorHAnsi"/>
          <w:rtl/>
          <w:lang w:bidi="fa-IR"/>
        </w:rPr>
        <w:t>- ماده1096 از قانون آیین دادرسی مدنی 1986 پرتغال</w:t>
      </w:r>
    </w:p>
  </w:footnote>
  <w:footnote w:id="149">
    <w:p w:rsidR="00581BA0" w:rsidRPr="00BE0B2D" w:rsidRDefault="00581BA0" w:rsidP="00BE0B2D">
      <w:pPr>
        <w:pStyle w:val="FootnoteText"/>
        <w:jc w:val="left"/>
        <w:rPr>
          <w:rFonts w:asciiTheme="minorHAnsi" w:hAnsiTheme="minorHAnsi" w:cstheme="majorBidi"/>
          <w:lang w:bidi="fa-IR"/>
        </w:rPr>
      </w:pPr>
      <w:r w:rsidRPr="00BE0B2D">
        <w:rPr>
          <w:rStyle w:val="FootnoteReference"/>
          <w:rFonts w:asciiTheme="minorHAnsi" w:hAnsiTheme="minorHAnsi" w:cstheme="majorBidi"/>
        </w:rPr>
        <w:footnoteRef/>
      </w:r>
      <w:r w:rsidRPr="00BE0B2D">
        <w:rPr>
          <w:rFonts w:asciiTheme="minorHAnsi" w:hAnsiTheme="minorHAnsi" w:cstheme="majorBidi"/>
        </w:rPr>
        <w:t>-</w:t>
      </w:r>
      <w:r w:rsidRPr="00BE0B2D">
        <w:rPr>
          <w:rFonts w:asciiTheme="minorHAnsi" w:hAnsiTheme="minorHAnsi" w:cstheme="majorBidi"/>
          <w:lang w:bidi="fa-IR"/>
        </w:rPr>
        <w:t xml:space="preserve"> Decision dated 4 December 1992, reported in (1997) XXII Yearbook 725.</w:t>
      </w:r>
    </w:p>
  </w:footnote>
  <w:footnote w:id="150">
    <w:p w:rsidR="00581BA0" w:rsidRPr="00D07F53" w:rsidRDefault="00581BA0" w:rsidP="00BE0B2D">
      <w:pPr>
        <w:pStyle w:val="FootnoteText"/>
        <w:jc w:val="left"/>
        <w:rPr>
          <w:rFonts w:cstheme="majorBidi"/>
          <w:lang w:bidi="fa-IR"/>
        </w:rPr>
      </w:pPr>
      <w:r w:rsidRPr="00BE0B2D">
        <w:rPr>
          <w:rStyle w:val="FootnoteReference"/>
          <w:rFonts w:asciiTheme="minorHAnsi" w:hAnsiTheme="minorHAnsi" w:cstheme="majorBidi"/>
        </w:rPr>
        <w:footnoteRef/>
      </w:r>
      <w:r w:rsidRPr="00BE0B2D">
        <w:rPr>
          <w:rFonts w:asciiTheme="minorHAnsi" w:hAnsiTheme="minorHAnsi" w:cstheme="majorBidi"/>
        </w:rPr>
        <w:t>-</w:t>
      </w:r>
      <w:r w:rsidRPr="00BE0B2D">
        <w:rPr>
          <w:rFonts w:asciiTheme="minorHAnsi" w:hAnsiTheme="minorHAnsi" w:cstheme="majorBidi"/>
          <w:lang w:bidi="fa-IR"/>
        </w:rPr>
        <w:t xml:space="preserve"> Sanders, “Commentary” in 60 Years of ICC Arbitration - A Look at the Future (ICC Publishing, 1984).</w:t>
      </w:r>
    </w:p>
  </w:footnote>
  <w:footnote w:id="151">
    <w:p w:rsidR="00581BA0" w:rsidRPr="00C85CCC" w:rsidRDefault="00581BA0" w:rsidP="00C85CCC">
      <w:pPr>
        <w:pStyle w:val="FootnoteText"/>
        <w:jc w:val="left"/>
        <w:rPr>
          <w:rFonts w:asciiTheme="minorHAnsi" w:hAnsiTheme="minorHAnsi" w:cstheme="majorBidi"/>
        </w:rPr>
      </w:pPr>
      <w:r w:rsidRPr="00BE0B2D">
        <w:rPr>
          <w:rStyle w:val="FootnoteReference"/>
          <w:rFonts w:asciiTheme="minorHAnsi" w:hAnsiTheme="minorHAnsi" w:cstheme="majorBidi"/>
        </w:rPr>
        <w:footnoteRef/>
      </w:r>
      <w:r w:rsidRPr="00BE0B2D">
        <w:rPr>
          <w:rFonts w:asciiTheme="minorHAnsi" w:hAnsiTheme="minorHAnsi" w:cstheme="majorBidi"/>
        </w:rPr>
        <w:t>- Fouchard, Gaillard and Goldman, op.cit., para. 1648.</w:t>
      </w:r>
    </w:p>
  </w:footnote>
  <w:footnote w:id="152">
    <w:p w:rsidR="00581BA0" w:rsidRPr="00BE0B2D" w:rsidRDefault="00581BA0" w:rsidP="00C85CCC">
      <w:pPr>
        <w:pStyle w:val="FootnoteText"/>
        <w:jc w:val="left"/>
        <w:rPr>
          <w:rFonts w:asciiTheme="minorHAnsi" w:hAnsiTheme="minorHAnsi" w:cstheme="majorBidi"/>
          <w:rtl/>
          <w:lang w:bidi="fa-IR"/>
        </w:rPr>
      </w:pPr>
      <w:r w:rsidRPr="00BE0B2D">
        <w:rPr>
          <w:rStyle w:val="FootnoteReference"/>
          <w:rFonts w:asciiTheme="minorHAnsi" w:hAnsiTheme="minorHAnsi" w:cstheme="majorBidi"/>
        </w:rPr>
        <w:footnoteRef/>
      </w:r>
      <w:r w:rsidRPr="00BE0B2D">
        <w:rPr>
          <w:rFonts w:asciiTheme="minorHAnsi" w:hAnsiTheme="minorHAnsi" w:cstheme="majorBidi"/>
        </w:rPr>
        <w:t>- Decision dated 4 December 1992, reported in (1997) XXII Yearbook 725.</w:t>
      </w:r>
    </w:p>
  </w:footnote>
  <w:footnote w:id="153">
    <w:p w:rsidR="00581BA0" w:rsidRPr="004747C8" w:rsidRDefault="00581BA0" w:rsidP="00C85CCC">
      <w:pPr>
        <w:pStyle w:val="FootnoteText"/>
        <w:jc w:val="left"/>
        <w:rPr>
          <w:rFonts w:cstheme="majorBidi"/>
          <w:lang w:bidi="fa-IR"/>
        </w:rPr>
      </w:pPr>
      <w:r w:rsidRPr="00BE0B2D">
        <w:rPr>
          <w:rStyle w:val="FootnoteReference"/>
          <w:rFonts w:asciiTheme="minorHAnsi" w:hAnsiTheme="minorHAnsi" w:cstheme="majorBidi"/>
        </w:rPr>
        <w:footnoteRef/>
      </w:r>
      <w:r w:rsidRPr="00BE0B2D">
        <w:rPr>
          <w:rFonts w:asciiTheme="minorHAnsi" w:hAnsiTheme="minorHAnsi" w:cstheme="majorBidi"/>
        </w:rPr>
        <w:t xml:space="preserve">- </w:t>
      </w:r>
      <w:r w:rsidRPr="00BE0B2D">
        <w:rPr>
          <w:rFonts w:asciiTheme="minorHAnsi" w:hAnsiTheme="minorHAnsi" w:cstheme="majorBidi"/>
          <w:lang w:bidi="fa-IR"/>
        </w:rPr>
        <w:t>Truly international public policy</w:t>
      </w:r>
    </w:p>
  </w:footnote>
  <w:footnote w:id="154">
    <w:p w:rsidR="00581BA0" w:rsidRPr="00C85CCC" w:rsidRDefault="00581BA0" w:rsidP="00C85CCC">
      <w:pPr>
        <w:pStyle w:val="FootnoteText"/>
        <w:jc w:val="left"/>
        <w:rPr>
          <w:rFonts w:asciiTheme="minorHAnsi" w:hAnsiTheme="minorHAnsi" w:cstheme="majorBidi"/>
          <w:rtl/>
        </w:rPr>
      </w:pPr>
      <w:r w:rsidRPr="00C85CCC">
        <w:rPr>
          <w:rStyle w:val="FootnoteReference"/>
          <w:rFonts w:asciiTheme="minorHAnsi" w:hAnsiTheme="minorHAnsi" w:cstheme="majorBidi"/>
        </w:rPr>
        <w:footnoteRef/>
      </w:r>
      <w:r w:rsidRPr="00C85CCC">
        <w:rPr>
          <w:rFonts w:asciiTheme="minorHAnsi" w:hAnsiTheme="minorHAnsi" w:cstheme="majorBidi"/>
        </w:rPr>
        <w:t>- Civilised Nations</w:t>
      </w:r>
    </w:p>
  </w:footnote>
  <w:footnote w:id="155">
    <w:p w:rsidR="00581BA0" w:rsidRPr="00C85CCC" w:rsidRDefault="00581BA0" w:rsidP="00C85CCC">
      <w:pPr>
        <w:pStyle w:val="FootnoteText"/>
        <w:jc w:val="left"/>
        <w:rPr>
          <w:rFonts w:asciiTheme="minorHAnsi" w:hAnsiTheme="minorHAnsi" w:cstheme="majorBidi"/>
          <w:lang w:bidi="fa-IR"/>
        </w:rPr>
      </w:pPr>
      <w:r w:rsidRPr="00C85CCC">
        <w:rPr>
          <w:rStyle w:val="FootnoteReference"/>
          <w:rFonts w:asciiTheme="minorHAnsi" w:hAnsiTheme="minorHAnsi" w:cstheme="majorBidi"/>
        </w:rPr>
        <w:footnoteRef/>
      </w:r>
      <w:r w:rsidRPr="00C85CCC">
        <w:rPr>
          <w:rFonts w:asciiTheme="minorHAnsi" w:hAnsiTheme="minorHAnsi" w:cstheme="majorBidi"/>
        </w:rPr>
        <w:t xml:space="preserve">- </w:t>
      </w:r>
      <w:r w:rsidRPr="00C85CCC">
        <w:rPr>
          <w:rFonts w:asciiTheme="minorHAnsi" w:hAnsiTheme="minorHAnsi" w:cstheme="majorBidi"/>
          <w:i/>
          <w:iCs/>
        </w:rPr>
        <w:t>W. -v- F. and V.,</w:t>
      </w:r>
      <w:r w:rsidRPr="00C85CCC">
        <w:rPr>
          <w:rFonts w:asciiTheme="minorHAnsi" w:hAnsiTheme="minorHAnsi" w:cstheme="majorBidi"/>
        </w:rPr>
        <w:t xml:space="preserve"> Decision dated 30 Dec. 1994, (1995) Bull. ASA 217. </w:t>
      </w:r>
    </w:p>
  </w:footnote>
  <w:footnote w:id="156">
    <w:p w:rsidR="00581BA0" w:rsidRPr="00C85CCC" w:rsidRDefault="00581BA0" w:rsidP="00C85CCC">
      <w:pPr>
        <w:pStyle w:val="FootnoteText"/>
        <w:jc w:val="left"/>
        <w:rPr>
          <w:rFonts w:asciiTheme="minorHAnsi" w:hAnsiTheme="minorHAnsi" w:cstheme="majorBidi"/>
        </w:rPr>
      </w:pPr>
      <w:r w:rsidRPr="00C85CCC">
        <w:rPr>
          <w:rStyle w:val="FootnoteReference"/>
          <w:rFonts w:asciiTheme="minorHAnsi" w:hAnsiTheme="minorHAnsi" w:cstheme="majorBidi"/>
        </w:rPr>
        <w:footnoteRef/>
      </w:r>
      <w:r w:rsidRPr="00C85CCC">
        <w:rPr>
          <w:rFonts w:asciiTheme="minorHAnsi" w:hAnsiTheme="minorHAnsi" w:cstheme="majorBidi"/>
        </w:rPr>
        <w:t>- European Gas Turbines SA -v- Westman International Ltd, 30 Sept. 1993, (1994) Rev. Arb.</w:t>
      </w:r>
    </w:p>
    <w:p w:rsidR="00581BA0" w:rsidRPr="004747C8" w:rsidRDefault="00581BA0" w:rsidP="00C85CCC">
      <w:pPr>
        <w:pStyle w:val="FootnoteText"/>
        <w:jc w:val="left"/>
        <w:rPr>
          <w:rFonts w:cstheme="majorBidi"/>
          <w:rtl/>
          <w:lang w:bidi="fa-IR"/>
        </w:rPr>
      </w:pPr>
      <w:r w:rsidRPr="00C85CCC">
        <w:rPr>
          <w:rFonts w:asciiTheme="minorHAnsi" w:hAnsiTheme="minorHAnsi" w:cstheme="majorBidi"/>
        </w:rPr>
        <w:t>359, and reported in (1995) XX Yearbook 198</w:t>
      </w:r>
      <w:r w:rsidRPr="00C85CCC">
        <w:rPr>
          <w:rFonts w:asciiTheme="minorHAnsi" w:hAnsiTheme="minorHAnsi" w:cstheme="majorBidi"/>
          <w:rtl/>
        </w:rPr>
        <w:t>.</w:t>
      </w:r>
    </w:p>
  </w:footnote>
  <w:footnote w:id="157">
    <w:p w:rsidR="00581BA0" w:rsidRPr="00C85CCC" w:rsidRDefault="00581BA0" w:rsidP="00C85CCC">
      <w:pPr>
        <w:pStyle w:val="FootnoteText"/>
        <w:jc w:val="left"/>
        <w:rPr>
          <w:rFonts w:asciiTheme="minorHAnsi" w:hAnsiTheme="minorHAnsi"/>
          <w:lang w:bidi="fa-IR"/>
        </w:rPr>
      </w:pPr>
      <w:r w:rsidRPr="00C85CCC">
        <w:rPr>
          <w:rStyle w:val="FootnoteReference"/>
          <w:rFonts w:asciiTheme="minorHAnsi" w:hAnsiTheme="minorHAnsi" w:cstheme="majorBidi"/>
        </w:rPr>
        <w:footnoteRef/>
      </w:r>
      <w:r w:rsidRPr="00C85CCC">
        <w:rPr>
          <w:rFonts w:asciiTheme="minorHAnsi" w:hAnsiTheme="minorHAnsi" w:cstheme="majorBidi"/>
        </w:rPr>
        <w:t>-</w:t>
      </w:r>
      <w:r w:rsidRPr="00C85CCC">
        <w:rPr>
          <w:rFonts w:asciiTheme="minorHAnsi" w:hAnsiTheme="minorHAnsi" w:cstheme="majorBidi"/>
          <w:lang w:bidi="fa-IR"/>
        </w:rPr>
        <w:t xml:space="preserve"> The OHADA Uniform Act</w:t>
      </w:r>
      <w:r w:rsidRPr="00C85CCC">
        <w:rPr>
          <w:rFonts w:asciiTheme="minorHAnsi" w:hAnsiTheme="minorHAnsi"/>
          <w:lang w:bidi="fa-IR"/>
        </w:rPr>
        <w:t xml:space="preserve"> </w:t>
      </w:r>
    </w:p>
  </w:footnote>
  <w:footnote w:id="158">
    <w:p w:rsidR="00581BA0" w:rsidRPr="00C85CCC" w:rsidRDefault="00581BA0" w:rsidP="00C85CCC">
      <w:pPr>
        <w:pStyle w:val="FootnoteText"/>
        <w:jc w:val="left"/>
        <w:rPr>
          <w:rFonts w:asciiTheme="minorHAnsi" w:hAnsiTheme="minorHAnsi" w:cstheme="majorBidi"/>
          <w:lang w:bidi="fa-IR"/>
        </w:rPr>
      </w:pPr>
      <w:r w:rsidRPr="00C85CCC">
        <w:rPr>
          <w:rStyle w:val="FootnoteReference"/>
          <w:rFonts w:asciiTheme="minorHAnsi" w:hAnsiTheme="minorHAnsi" w:cstheme="majorBidi"/>
        </w:rPr>
        <w:footnoteRef/>
      </w:r>
      <w:r w:rsidRPr="00C85CCC">
        <w:rPr>
          <w:rFonts w:asciiTheme="minorHAnsi" w:hAnsiTheme="minorHAnsi" w:cstheme="majorBidi"/>
        </w:rPr>
        <w:t>-</w:t>
      </w:r>
      <w:r w:rsidRPr="00C85CCC">
        <w:rPr>
          <w:rFonts w:asciiTheme="minorHAnsi" w:hAnsiTheme="minorHAnsi" w:cstheme="majorBidi"/>
          <w:lang w:bidi="fa-IR"/>
        </w:rPr>
        <w:t xml:space="preserve"> International Chamber of Commerce (ICC)</w:t>
      </w:r>
    </w:p>
  </w:footnote>
  <w:footnote w:id="159">
    <w:p w:rsidR="00581BA0" w:rsidRPr="00D07F53" w:rsidRDefault="00581BA0" w:rsidP="00C85CCC">
      <w:pPr>
        <w:pStyle w:val="FootnoteText"/>
        <w:jc w:val="left"/>
        <w:rPr>
          <w:rFonts w:cstheme="majorBidi"/>
        </w:rPr>
      </w:pPr>
      <w:r w:rsidRPr="00C85CCC">
        <w:rPr>
          <w:rStyle w:val="FootnoteReference"/>
          <w:rFonts w:asciiTheme="minorHAnsi" w:hAnsiTheme="minorHAnsi" w:cstheme="majorBidi"/>
        </w:rPr>
        <w:footnoteRef/>
      </w:r>
      <w:r w:rsidRPr="00C85CCC">
        <w:rPr>
          <w:rFonts w:asciiTheme="minorHAnsi" w:hAnsiTheme="minorHAnsi" w:cstheme="majorBidi"/>
        </w:rPr>
        <w:t>- The Economic and Social Council of the United Nations</w:t>
      </w:r>
    </w:p>
  </w:footnote>
  <w:footnote w:id="160">
    <w:p w:rsidR="00581BA0" w:rsidRPr="00C85CCC" w:rsidRDefault="00581BA0" w:rsidP="00C85CCC">
      <w:pPr>
        <w:pStyle w:val="FootnoteText"/>
        <w:jc w:val="left"/>
        <w:rPr>
          <w:rFonts w:asciiTheme="minorHAnsi" w:hAnsiTheme="minorHAnsi" w:cstheme="majorBidi"/>
          <w:i/>
          <w:iCs/>
          <w:lang w:bidi="fa-IR"/>
        </w:rPr>
      </w:pPr>
      <w:r w:rsidRPr="00C85CCC">
        <w:rPr>
          <w:rStyle w:val="FootnoteReference"/>
          <w:rFonts w:asciiTheme="minorHAnsi" w:hAnsiTheme="minorHAnsi" w:cstheme="majorBidi"/>
        </w:rPr>
        <w:footnoteRef/>
      </w:r>
      <w:r w:rsidRPr="00C85CCC">
        <w:rPr>
          <w:rFonts w:asciiTheme="minorHAnsi" w:hAnsiTheme="minorHAnsi" w:cstheme="majorBidi"/>
        </w:rPr>
        <w:t xml:space="preserve">- </w:t>
      </w:r>
      <w:r w:rsidRPr="00C85CCC">
        <w:rPr>
          <w:rFonts w:asciiTheme="minorHAnsi" w:hAnsiTheme="minorHAnsi" w:cstheme="majorBidi"/>
          <w:lang w:bidi="fa-IR"/>
        </w:rPr>
        <w:t xml:space="preserve">van den Berg, Albert Jan, </w:t>
      </w:r>
      <w:r w:rsidRPr="00C85CCC">
        <w:rPr>
          <w:rFonts w:asciiTheme="minorHAnsi" w:hAnsiTheme="minorHAnsi" w:cstheme="majorBidi"/>
          <w:i/>
          <w:iCs/>
          <w:lang w:bidi="fa-IR"/>
        </w:rPr>
        <w:t xml:space="preserve">The New York Convention of 1958 </w:t>
      </w:r>
      <w:r w:rsidRPr="00C85CCC">
        <w:rPr>
          <w:rFonts w:asciiTheme="minorHAnsi" w:hAnsiTheme="minorHAnsi" w:cstheme="majorBidi"/>
          <w:lang w:bidi="fa-IR"/>
        </w:rPr>
        <w:t>(Kluwer, 1981), p.361.</w:t>
      </w:r>
    </w:p>
  </w:footnote>
  <w:footnote w:id="161">
    <w:p w:rsidR="00581BA0" w:rsidRPr="00AE5408" w:rsidRDefault="00581BA0" w:rsidP="00C85CCC">
      <w:pPr>
        <w:pStyle w:val="FootnoteText"/>
        <w:jc w:val="left"/>
        <w:rPr>
          <w:rFonts w:cstheme="majorBidi"/>
          <w:rtl/>
        </w:rPr>
      </w:pPr>
      <w:r w:rsidRPr="00C85CCC">
        <w:rPr>
          <w:rStyle w:val="FootnoteReference"/>
          <w:rFonts w:asciiTheme="minorHAnsi" w:hAnsiTheme="minorHAnsi" w:cstheme="majorBidi"/>
        </w:rPr>
        <w:footnoteRef/>
      </w:r>
      <w:r w:rsidRPr="00C85CCC">
        <w:rPr>
          <w:rFonts w:asciiTheme="minorHAnsi" w:hAnsiTheme="minorHAnsi" w:cstheme="majorBidi"/>
        </w:rPr>
        <w:t>- Report of the Committee on the Enforcement of International Arbitral Awards, 28 March 1955, UN Doc. E/2704 and E/AC.42/4/Rev.1.</w:t>
      </w:r>
    </w:p>
  </w:footnote>
  <w:footnote w:id="162">
    <w:p w:rsidR="00581BA0" w:rsidRPr="00C85CCC" w:rsidRDefault="00581BA0" w:rsidP="00C85CCC">
      <w:pPr>
        <w:pStyle w:val="FootnoteText"/>
        <w:jc w:val="left"/>
        <w:rPr>
          <w:rFonts w:asciiTheme="minorHAnsi" w:hAnsiTheme="minorHAnsi" w:cstheme="majorBidi"/>
        </w:rPr>
      </w:pPr>
      <w:r w:rsidRPr="00C85CCC">
        <w:rPr>
          <w:rStyle w:val="FootnoteReference"/>
          <w:rFonts w:asciiTheme="minorHAnsi" w:hAnsiTheme="minorHAnsi" w:cstheme="majorBidi"/>
        </w:rPr>
        <w:footnoteRef/>
      </w:r>
      <w:r w:rsidRPr="00C85CCC">
        <w:rPr>
          <w:rFonts w:asciiTheme="minorHAnsi" w:hAnsiTheme="minorHAnsi" w:cstheme="majorBidi"/>
        </w:rPr>
        <w:t>- Report entitled “Study on the application and interpretation of the Convention on the Recognition and Enforcement of Foreign Arbitral Awards”, UN Doc. A/CN. 9/168.</w:t>
      </w:r>
    </w:p>
  </w:footnote>
  <w:footnote w:id="163">
    <w:p w:rsidR="00581BA0" w:rsidRPr="00F2067A" w:rsidRDefault="00581BA0" w:rsidP="00C85CCC">
      <w:pPr>
        <w:pStyle w:val="FootnoteText"/>
        <w:jc w:val="left"/>
        <w:rPr>
          <w:rFonts w:cstheme="majorBidi"/>
          <w:lang w:bidi="fa-IR"/>
        </w:rPr>
      </w:pPr>
      <w:r w:rsidRPr="00C85CCC">
        <w:rPr>
          <w:rStyle w:val="FootnoteReference"/>
          <w:rFonts w:asciiTheme="minorHAnsi" w:hAnsiTheme="minorHAnsi" w:cstheme="majorBidi"/>
        </w:rPr>
        <w:footnoteRef/>
      </w:r>
      <w:r w:rsidRPr="00C85CCC">
        <w:rPr>
          <w:rFonts w:asciiTheme="minorHAnsi" w:hAnsiTheme="minorHAnsi" w:cstheme="majorBidi"/>
        </w:rPr>
        <w:t>- UN Doc. A/CN. 9/263 Add. 2, paras. 29-35.</w:t>
      </w:r>
    </w:p>
  </w:footnote>
  <w:footnote w:id="164">
    <w:p w:rsidR="00581BA0" w:rsidRPr="00D07F53" w:rsidRDefault="00581BA0" w:rsidP="00C85CCC">
      <w:pPr>
        <w:pStyle w:val="FootnoteText"/>
        <w:tabs>
          <w:tab w:val="left" w:pos="7020"/>
        </w:tabs>
        <w:jc w:val="left"/>
        <w:rPr>
          <w:rFonts w:cstheme="majorBidi"/>
          <w:lang w:bidi="fa-IR"/>
        </w:rPr>
      </w:pPr>
      <w:r w:rsidRPr="00D07F53">
        <w:rPr>
          <w:rStyle w:val="FootnoteReference"/>
          <w:rFonts w:cstheme="majorBidi"/>
        </w:rPr>
        <w:footnoteRef/>
      </w:r>
      <w:r w:rsidRPr="00D07F53">
        <w:rPr>
          <w:rFonts w:cstheme="majorBidi"/>
        </w:rPr>
        <w:t xml:space="preserve">- </w:t>
      </w:r>
      <w:r w:rsidRPr="00D07F53">
        <w:rPr>
          <w:rFonts w:cstheme="majorBidi"/>
          <w:lang w:bidi="fa-IR"/>
        </w:rPr>
        <w:t>International Law Association, “Interim Report on Public Policy As a Bar to Enforcement of International Arbitral Awards”, London Conference (2000),p.10.</w:t>
      </w:r>
    </w:p>
  </w:footnote>
  <w:footnote w:id="165">
    <w:p w:rsidR="00581BA0" w:rsidRDefault="00581BA0" w:rsidP="00C85CCC">
      <w:pPr>
        <w:pStyle w:val="FootnoteText"/>
        <w:tabs>
          <w:tab w:val="left" w:pos="7020"/>
        </w:tabs>
        <w:jc w:val="left"/>
        <w:rPr>
          <w:rtl/>
          <w:lang w:bidi="fa-IR"/>
        </w:rPr>
      </w:pPr>
      <w:r w:rsidRPr="00D07F53">
        <w:rPr>
          <w:rStyle w:val="FootnoteReference"/>
          <w:rFonts w:cstheme="majorBidi"/>
        </w:rPr>
        <w:footnoteRef/>
      </w:r>
      <w:r w:rsidRPr="00D07F53">
        <w:rPr>
          <w:rFonts w:cstheme="majorBidi"/>
        </w:rPr>
        <w:t>- UN Doc. A/40/17, para. 297.</w:t>
      </w:r>
    </w:p>
  </w:footnote>
  <w:footnote w:id="166">
    <w:p w:rsidR="00581BA0" w:rsidRPr="00C85CCC" w:rsidRDefault="00581BA0" w:rsidP="00153D13">
      <w:pPr>
        <w:pStyle w:val="Heading5"/>
        <w:jc w:val="both"/>
        <w:rPr>
          <w:rFonts w:asciiTheme="minorHAnsi" w:hAnsiTheme="minorHAnsi"/>
          <w:rtl/>
          <w:lang w:bidi="fa-IR"/>
        </w:rPr>
      </w:pPr>
      <w:r w:rsidRPr="00C85CCC">
        <w:rPr>
          <w:rStyle w:val="FootnoteReference"/>
          <w:rFonts w:asciiTheme="minorHAnsi" w:hAnsiTheme="minorHAnsi"/>
        </w:rPr>
        <w:footnoteRef/>
      </w:r>
      <w:r w:rsidRPr="00C85CCC">
        <w:rPr>
          <w:rFonts w:asciiTheme="minorHAnsi" w:hAnsiTheme="minorHAnsi"/>
        </w:rPr>
        <w:t>- International Law Association, “Interim Report on Public Policy As a Bar to Enforcement of International Arbitral Awards”, London Conference (2000),p.11.</w:t>
      </w:r>
    </w:p>
  </w:footnote>
  <w:footnote w:id="167">
    <w:p w:rsidR="00581BA0" w:rsidRPr="00B4725C" w:rsidRDefault="00581BA0" w:rsidP="00153D13">
      <w:pPr>
        <w:pStyle w:val="FootnoteText"/>
        <w:ind w:right="1080"/>
        <w:jc w:val="both"/>
        <w:rPr>
          <w:rFonts w:asciiTheme="minorHAnsi" w:hAnsiTheme="minorHAnsi" w:cstheme="majorBidi"/>
          <w:lang w:bidi="fa-IR"/>
        </w:rPr>
      </w:pPr>
      <w:r w:rsidRPr="00C85CCC">
        <w:rPr>
          <w:rStyle w:val="FootnoteReference"/>
          <w:rFonts w:asciiTheme="minorHAnsi" w:hAnsiTheme="minorHAnsi" w:cstheme="majorBidi"/>
        </w:rPr>
        <w:footnoteRef/>
      </w:r>
      <w:r w:rsidRPr="00C85CCC">
        <w:rPr>
          <w:rFonts w:asciiTheme="minorHAnsi" w:hAnsiTheme="minorHAnsi" w:cstheme="majorBidi"/>
        </w:rPr>
        <w:t>-</w:t>
      </w:r>
      <w:r w:rsidRPr="00C85CCC">
        <w:rPr>
          <w:rFonts w:asciiTheme="minorHAnsi" w:hAnsiTheme="minorHAnsi" w:cstheme="majorBidi"/>
          <w:lang w:bidi="fa-IR"/>
        </w:rPr>
        <w:t xml:space="preserve"> Convention for the Execution of Foreign Arbitral Awards, made at Geneva, 26 September 1927, League of Nations Treaty Series (1929-1930), vol. XCII, p. 302.</w:t>
      </w:r>
    </w:p>
  </w:footnote>
  <w:footnote w:id="168">
    <w:p w:rsidR="00581BA0" w:rsidRPr="00153D13" w:rsidRDefault="00581BA0" w:rsidP="00153D13">
      <w:pPr>
        <w:pStyle w:val="FootnoteText"/>
        <w:jc w:val="both"/>
        <w:rPr>
          <w:rFonts w:asciiTheme="minorHAnsi" w:hAnsiTheme="minorHAnsi" w:cstheme="majorBidi"/>
          <w:rtl/>
        </w:rPr>
      </w:pPr>
      <w:r w:rsidRPr="00153D13">
        <w:rPr>
          <w:rStyle w:val="FootnoteReference"/>
          <w:rFonts w:asciiTheme="minorHAnsi" w:hAnsiTheme="minorHAnsi" w:cstheme="majorBidi"/>
        </w:rPr>
        <w:footnoteRef/>
      </w:r>
      <w:r w:rsidRPr="00153D13">
        <w:rPr>
          <w:rFonts w:asciiTheme="minorHAnsi" w:hAnsiTheme="minorHAnsi" w:cstheme="majorBidi"/>
        </w:rPr>
        <w:t>- Inter-American Convention on International Commercial Arbitration, made in Panama, 30 January 1975.</w:t>
      </w:r>
    </w:p>
  </w:footnote>
  <w:footnote w:id="169">
    <w:p w:rsidR="00581BA0" w:rsidRPr="00153D13" w:rsidRDefault="00581BA0" w:rsidP="00153D13">
      <w:pPr>
        <w:pStyle w:val="FootnoteText"/>
        <w:jc w:val="both"/>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Inter-American Convention on Extraterritorial Validity of Foreign Judgments and Arbitral Awards, made in Montevideo, 8 May 1979.</w:t>
      </w:r>
    </w:p>
  </w:footnote>
  <w:footnote w:id="170">
    <w:p w:rsidR="00581BA0" w:rsidRPr="00153D13" w:rsidRDefault="00581BA0" w:rsidP="00153D13">
      <w:pPr>
        <w:pStyle w:val="FootnoteText"/>
        <w:jc w:val="both"/>
        <w:rPr>
          <w:rFonts w:asciiTheme="minorHAnsi" w:hAnsiTheme="minorHAnsi" w:cstheme="majorBidi"/>
          <w:lang w:bidi="fa-IR"/>
        </w:rPr>
      </w:pPr>
      <w:r w:rsidRPr="00153D13">
        <w:rPr>
          <w:rStyle w:val="FootnoteReference"/>
          <w:rFonts w:asciiTheme="minorHAnsi" w:hAnsiTheme="minorHAnsi" w:cstheme="majorBidi"/>
        </w:rPr>
        <w:footnoteRef/>
      </w:r>
      <w:r w:rsidRPr="00153D13">
        <w:rPr>
          <w:rFonts w:asciiTheme="minorHAnsi" w:hAnsiTheme="minorHAnsi" w:cstheme="majorBidi"/>
        </w:rPr>
        <w:t>-</w:t>
      </w:r>
      <w:r w:rsidRPr="00153D13">
        <w:rPr>
          <w:rFonts w:asciiTheme="minorHAnsi" w:hAnsiTheme="minorHAnsi" w:cstheme="majorBidi"/>
          <w:lang w:bidi="fa-IR"/>
        </w:rPr>
        <w:t xml:space="preserve"> Convention on Judicial Co-operation between States of the Arab League, made in Riyadh, 6 April 1983.</w:t>
      </w:r>
    </w:p>
  </w:footnote>
  <w:footnote w:id="171">
    <w:p w:rsidR="00581BA0" w:rsidRPr="00153D13" w:rsidRDefault="00581BA0" w:rsidP="00153D13">
      <w:pPr>
        <w:pStyle w:val="FootnoteText"/>
        <w:jc w:val="both"/>
        <w:rPr>
          <w:rFonts w:asciiTheme="minorHAnsi" w:hAnsiTheme="minorHAns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Convention of the Arab League on Enforcement of Arbitral Awards, made in Amman, 14 April 1987.</w:t>
      </w:r>
    </w:p>
  </w:footnote>
  <w:footnote w:id="172">
    <w:p w:rsidR="00581BA0" w:rsidRPr="00D07F53" w:rsidRDefault="00581BA0" w:rsidP="00153D13">
      <w:pPr>
        <w:pStyle w:val="FootnoteText"/>
        <w:jc w:val="both"/>
        <w:rPr>
          <w:rFonts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Convention on the Settlement of Investment Disputes between States and Nationals of Other States, made on 18 March 1965.</w:t>
      </w:r>
    </w:p>
  </w:footnote>
  <w:footnote w:id="173">
    <w:p w:rsidR="00581BA0" w:rsidRPr="00153D13" w:rsidRDefault="00581BA0" w:rsidP="00153D13">
      <w:pPr>
        <w:pStyle w:val="FootnoteText"/>
        <w:tabs>
          <w:tab w:val="left" w:pos="7920"/>
        </w:tabs>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Carias-Borjas, “The Decision of the French Cour de Cassation in SOABI -v- Senegal”, (1991) 2 American Review of International Arbitration 354.</w:t>
      </w:r>
    </w:p>
  </w:footnote>
  <w:footnote w:id="174">
    <w:p w:rsidR="00581BA0" w:rsidRPr="00153D13" w:rsidRDefault="00581BA0" w:rsidP="00153D13">
      <w:pPr>
        <w:pStyle w:val="FootnoteText"/>
        <w:tabs>
          <w:tab w:val="left" w:pos="7920"/>
        </w:tabs>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1502 of Title V of the Code of Civil Procedure (1981).</w:t>
      </w:r>
    </w:p>
  </w:footnote>
  <w:footnote w:id="175">
    <w:p w:rsidR="00581BA0" w:rsidRPr="00153D13" w:rsidRDefault="00581BA0" w:rsidP="00153D13">
      <w:pPr>
        <w:pStyle w:val="FootnoteText"/>
        <w:tabs>
          <w:tab w:val="left" w:pos="7920"/>
        </w:tabs>
        <w:jc w:val="left"/>
        <w:rPr>
          <w:rFonts w:asciiTheme="minorHAnsi" w:hAnsiTheme="minorHAnsi" w:cstheme="majorBidi"/>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1096(f) of the Code of Civil Procedure (1986).</w:t>
      </w:r>
    </w:p>
  </w:footnote>
  <w:footnote w:id="176">
    <w:p w:rsidR="00581BA0" w:rsidRPr="00153D13" w:rsidRDefault="00581BA0" w:rsidP="00153D13">
      <w:pPr>
        <w:pStyle w:val="FootnoteText"/>
        <w:tabs>
          <w:tab w:val="left" w:pos="7920"/>
        </w:tabs>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458 bis 23(h) of Decree No. 83.09 (1993).</w:t>
      </w:r>
    </w:p>
  </w:footnote>
  <w:footnote w:id="177">
    <w:p w:rsidR="00581BA0" w:rsidRPr="00153D13" w:rsidRDefault="00581BA0" w:rsidP="00153D13">
      <w:pPr>
        <w:pStyle w:val="FootnoteText"/>
        <w:tabs>
          <w:tab w:val="left" w:pos="7920"/>
        </w:tabs>
        <w:jc w:val="left"/>
        <w:rPr>
          <w:rFonts w:asciiTheme="minorHAnsi" w:hAnsiTheme="minorHAns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817(5) of Decree-law No. 90 (1983).</w:t>
      </w:r>
    </w:p>
  </w:footnote>
  <w:footnote w:id="178">
    <w:p w:rsidR="00581BA0" w:rsidRPr="00153D13" w:rsidRDefault="00581BA0" w:rsidP="00153D13">
      <w:pPr>
        <w:pStyle w:val="FootnoteText"/>
        <w:tabs>
          <w:tab w:val="left" w:pos="7920"/>
        </w:tabs>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81.II of the Tunisian Arbitration Code (1993).</w:t>
      </w:r>
    </w:p>
  </w:footnote>
  <w:footnote w:id="179">
    <w:p w:rsidR="00581BA0" w:rsidRPr="00A1294D" w:rsidRDefault="00581BA0" w:rsidP="00153D13">
      <w:pPr>
        <w:pStyle w:val="FootnoteText"/>
        <w:tabs>
          <w:tab w:val="left" w:pos="7920"/>
        </w:tabs>
        <w:jc w:val="left"/>
        <w:rPr>
          <w:rFonts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Articles 168(2) and 174 of Law 105/1992 on the Settlement of Private International Law Relations.</w:t>
      </w:r>
    </w:p>
  </w:footnote>
  <w:footnote w:id="180">
    <w:p w:rsidR="00581BA0" w:rsidRPr="00153D13" w:rsidRDefault="00581BA0" w:rsidP="00153D13">
      <w:pPr>
        <w:pStyle w:val="FootnoteText"/>
        <w:jc w:val="left"/>
        <w:rPr>
          <w:rFonts w:asciiTheme="minorHAnsi" w:hAnsiTheme="minorHAnsi" w:cstheme="majorBidi"/>
          <w:rtl/>
        </w:rPr>
      </w:pPr>
      <w:r w:rsidRPr="00153D13">
        <w:rPr>
          <w:rStyle w:val="FootnoteReference"/>
          <w:rFonts w:asciiTheme="minorHAnsi" w:hAnsiTheme="minorHAnsi" w:cstheme="majorBidi"/>
        </w:rPr>
        <w:footnoteRef/>
      </w:r>
      <w:r w:rsidRPr="00153D13">
        <w:rPr>
          <w:rFonts w:asciiTheme="minorHAnsi" w:hAnsiTheme="minorHAnsi" w:cstheme="majorBidi"/>
        </w:rPr>
        <w:t>- Article 118(3) of the Code of Civil Procedure (1996).</w:t>
      </w:r>
    </w:p>
  </w:footnote>
  <w:footnote w:id="181">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Articles 407(4) and 408 of the Code of Civil and Commercial Procedure.</w:t>
      </w:r>
    </w:p>
  </w:footnote>
  <w:footnote w:id="182">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Article 53 of the Arbitration Act 1997.</w:t>
      </w:r>
    </w:p>
  </w:footnote>
  <w:footnote w:id="183">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Article 380(4) of the Code of Civil and Commercial Procedure.</w:t>
      </w:r>
    </w:p>
  </w:footnote>
  <w:footnote w:id="184">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Articles 235(vi) of the Code of Civil Procedure (1992).</w:t>
      </w:r>
    </w:p>
  </w:footnote>
  <w:footnote w:id="185">
    <w:p w:rsidR="00581BA0" w:rsidRPr="00153D13" w:rsidRDefault="00581BA0" w:rsidP="00153D13">
      <w:pPr>
        <w:pStyle w:val="FootnoteText"/>
        <w:jc w:val="left"/>
        <w:rPr>
          <w:rFonts w:asciiTheme="minorHAnsi" w:hAnsiTheme="minorHAnsi" w:cstheme="majorBidi"/>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285 of the Code of Civil Procedure.</w:t>
      </w:r>
    </w:p>
  </w:footnote>
  <w:footnote w:id="186">
    <w:p w:rsidR="00581BA0" w:rsidRPr="00153D13" w:rsidRDefault="00581BA0" w:rsidP="00153D13">
      <w:pPr>
        <w:pStyle w:val="FootnoteText"/>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595(1).6 of the Code of Civil Procedure (1983)</w:t>
      </w:r>
      <w:r w:rsidRPr="00153D13">
        <w:rPr>
          <w:rFonts w:asciiTheme="minorHAnsi" w:hAnsiTheme="minorHAnsi" w:cstheme="majorBidi"/>
          <w:rtl/>
        </w:rPr>
        <w:t>.</w:t>
      </w:r>
    </w:p>
  </w:footnote>
  <w:footnote w:id="187">
    <w:p w:rsidR="00581BA0" w:rsidRPr="00153D13" w:rsidRDefault="00581BA0" w:rsidP="00153D13">
      <w:pPr>
        <w:pStyle w:val="FootnoteText"/>
        <w:jc w:val="left"/>
        <w:rPr>
          <w:rFonts w:asciiTheme="minorHAnsi" w:hAnsiTheme="minorHAns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Section 55(2) of the Swedish Arbitration Act 1999.</w:t>
      </w:r>
    </w:p>
  </w:footnote>
  <w:footnote w:id="188">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Articles 712(1)(4), 1146 and 1150 of the Code of Civil Procedure (1964).</w:t>
      </w:r>
    </w:p>
  </w:footnote>
  <w:footnote w:id="189">
    <w:p w:rsidR="00581BA0" w:rsidRPr="00D07F53" w:rsidRDefault="00581BA0" w:rsidP="00153D13">
      <w:pPr>
        <w:pStyle w:val="FootnoteText"/>
        <w:jc w:val="left"/>
        <w:rPr>
          <w:rFonts w:cstheme="majorBidi"/>
          <w:rtl/>
        </w:rPr>
      </w:pPr>
      <w:r w:rsidRPr="00153D13">
        <w:rPr>
          <w:rStyle w:val="FootnoteReference"/>
          <w:rFonts w:asciiTheme="minorHAnsi" w:hAnsiTheme="minorHAnsi" w:cstheme="majorBidi"/>
        </w:rPr>
        <w:footnoteRef/>
      </w:r>
      <w:r w:rsidRPr="00153D13">
        <w:rPr>
          <w:rFonts w:asciiTheme="minorHAnsi" w:hAnsiTheme="minorHAnsi" w:cstheme="majorBidi"/>
        </w:rPr>
        <w:t>- Szurski and Wis´niewski, “Poland”, Handbook, Suppl. 14, Apr. 1993, p. 29.</w:t>
      </w:r>
    </w:p>
  </w:footnote>
  <w:footnote w:id="190">
    <w:p w:rsidR="00581BA0" w:rsidRPr="00153D13" w:rsidRDefault="00581BA0" w:rsidP="00153D13">
      <w:pPr>
        <w:pStyle w:val="FootnoteText"/>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203 of the Code of Civil Procedure (1991).</w:t>
      </w:r>
    </w:p>
  </w:footnote>
  <w:footnote w:id="191">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Lee, “Republic of Korea”, Handbook, Suppl. 21, Aug. 1996, p. 25.</w:t>
      </w:r>
    </w:p>
  </w:footnote>
  <w:footnote w:id="192">
    <w:p w:rsidR="00581BA0" w:rsidRPr="00153D13" w:rsidRDefault="00581BA0" w:rsidP="00153D13">
      <w:pPr>
        <w:pStyle w:val="FootnoteText"/>
        <w:jc w:val="left"/>
        <w:rPr>
          <w:rFonts w:asciiTheme="minorHAnsi" w:hAnsiTheme="minorHAnsi" w:cstheme="majorBidi"/>
        </w:rPr>
      </w:pPr>
      <w:r w:rsidRPr="00153D13">
        <w:rPr>
          <w:rStyle w:val="FootnoteReference"/>
          <w:rFonts w:asciiTheme="minorHAnsi" w:hAnsiTheme="minorHAnsi" w:cstheme="majorBidi"/>
        </w:rPr>
        <w:footnoteRef/>
      </w:r>
      <w:r w:rsidRPr="00153D13">
        <w:rPr>
          <w:rFonts w:asciiTheme="minorHAnsi" w:hAnsiTheme="minorHAnsi" w:cstheme="majorBidi"/>
        </w:rPr>
        <w:t>- Article 260 of Chapter 28 of the Law of Civil Procedure (1991).</w:t>
      </w:r>
    </w:p>
  </w:footnote>
  <w:footnote w:id="193">
    <w:p w:rsidR="00581BA0" w:rsidRPr="00153D13" w:rsidRDefault="00581BA0" w:rsidP="00153D13">
      <w:pPr>
        <w:pStyle w:val="FootnoteText"/>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Houzhi and Shengchang, “People’s Republic of China”, Handbook, Suppl. 25, Jan. 1998, p. 43.</w:t>
      </w:r>
    </w:p>
  </w:footnote>
  <w:footnote w:id="194">
    <w:p w:rsidR="00581BA0" w:rsidRPr="00153D13" w:rsidRDefault="00581BA0" w:rsidP="00153D13">
      <w:pPr>
        <w:pStyle w:val="FootnoteText"/>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Article 39.II of Law No. 9.307/1996.</w:t>
      </w:r>
    </w:p>
  </w:footnote>
  <w:footnote w:id="195">
    <w:p w:rsidR="00581BA0" w:rsidRDefault="00581BA0" w:rsidP="00153D13">
      <w:pPr>
        <w:pStyle w:val="FootnoteText"/>
        <w:jc w:val="left"/>
        <w:rPr>
          <w:lang w:bidi="fa-IR"/>
        </w:rPr>
      </w:pPr>
      <w:r w:rsidRPr="00153D13">
        <w:rPr>
          <w:rStyle w:val="FootnoteReference"/>
          <w:rFonts w:asciiTheme="minorHAnsi" w:hAnsiTheme="minorHAnsi" w:cstheme="majorBidi"/>
        </w:rPr>
        <w:footnoteRef/>
      </w:r>
      <w:r w:rsidRPr="00153D13">
        <w:rPr>
          <w:rFonts w:asciiTheme="minorHAnsi" w:hAnsiTheme="minorHAnsi" w:cstheme="majorBidi"/>
        </w:rPr>
        <w:t>- Netto, “Brazil”, Handbook, Suppl. 25, Jan. 1998, p. 24.</w:t>
      </w:r>
    </w:p>
  </w:footnote>
  <w:footnote w:id="196">
    <w:p w:rsidR="00581BA0" w:rsidRPr="00153D13" w:rsidRDefault="00581BA0" w:rsidP="00153D13">
      <w:pPr>
        <w:pStyle w:val="FootnoteText"/>
        <w:jc w:val="left"/>
        <w:rPr>
          <w:rFonts w:asciiTheme="minorHAnsi" w:hAnsiTheme="minorHAnsi"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International Law Association, “Interim Report on Public Policy As a Bar to Enforcement of International Arbitral Awards”, London Conference (2000), p.13.</w:t>
      </w:r>
    </w:p>
  </w:footnote>
  <w:footnote w:id="197">
    <w:p w:rsidR="00581BA0" w:rsidRPr="00D07F53" w:rsidRDefault="00581BA0" w:rsidP="00153D13">
      <w:pPr>
        <w:pStyle w:val="FootnoteText"/>
        <w:jc w:val="left"/>
        <w:rPr>
          <w:rFonts w:cstheme="majorBidi"/>
          <w:rtl/>
          <w:lang w:bidi="fa-IR"/>
        </w:rPr>
      </w:pPr>
      <w:r w:rsidRPr="00153D13">
        <w:rPr>
          <w:rStyle w:val="FootnoteReference"/>
          <w:rFonts w:asciiTheme="minorHAnsi" w:hAnsiTheme="minorHAnsi" w:cstheme="majorBidi"/>
        </w:rPr>
        <w:footnoteRef/>
      </w:r>
      <w:r w:rsidRPr="00153D13">
        <w:rPr>
          <w:rFonts w:asciiTheme="minorHAnsi" w:hAnsiTheme="minorHAnsi" w:cstheme="majorBidi"/>
        </w:rPr>
        <w:t>- Grigera Naón, “Argentina”, Handbook, Suppl. 11, Jan. 1990, p. 30.</w:t>
      </w:r>
    </w:p>
  </w:footnote>
  <w:footnote w:id="198">
    <w:p w:rsidR="00581BA0" w:rsidRPr="0057540F" w:rsidRDefault="00581BA0" w:rsidP="0057540F">
      <w:pPr>
        <w:pStyle w:val="FootnoteText"/>
        <w:tabs>
          <w:tab w:val="left" w:pos="7740"/>
          <w:tab w:val="left" w:pos="7920"/>
        </w:tabs>
        <w:jc w:val="left"/>
        <w:rPr>
          <w:rFonts w:asciiTheme="minorHAnsi" w:hAnsiTheme="minorHAnsi" w:cstheme="majorBidi"/>
          <w:rtl/>
          <w:lang w:bidi="fa-IR"/>
        </w:rPr>
      </w:pPr>
      <w:r w:rsidRPr="0057540F">
        <w:rPr>
          <w:rStyle w:val="FootnoteReference"/>
          <w:rFonts w:asciiTheme="minorHAnsi" w:hAnsiTheme="minorHAnsi" w:cstheme="majorBidi"/>
        </w:rPr>
        <w:footnoteRef/>
      </w:r>
      <w:r w:rsidRPr="0057540F">
        <w:rPr>
          <w:rFonts w:asciiTheme="minorHAnsi" w:hAnsiTheme="minorHAnsi" w:cstheme="majorBidi"/>
        </w:rPr>
        <w:t>- US Federal Arbitration Act, sections 201 and 301, respectively.</w:t>
      </w:r>
    </w:p>
  </w:footnote>
  <w:footnote w:id="199">
    <w:p w:rsidR="00581BA0" w:rsidRPr="0057540F" w:rsidRDefault="00581BA0" w:rsidP="0057540F">
      <w:pPr>
        <w:pStyle w:val="FootnoteText"/>
        <w:tabs>
          <w:tab w:val="left" w:pos="7740"/>
          <w:tab w:val="left" w:pos="7920"/>
        </w:tabs>
        <w:jc w:val="left"/>
        <w:rPr>
          <w:rFonts w:asciiTheme="minorHAnsi" w:hAnsiTheme="minorHAnsi" w:cstheme="majorBidi"/>
          <w:rtl/>
          <w:lang w:bidi="fa-IR"/>
        </w:rPr>
      </w:pPr>
      <w:r w:rsidRPr="0057540F">
        <w:rPr>
          <w:rStyle w:val="FootnoteReference"/>
          <w:rFonts w:asciiTheme="minorHAnsi" w:hAnsiTheme="minorHAnsi" w:cstheme="majorBidi"/>
        </w:rPr>
        <w:footnoteRef/>
      </w:r>
      <w:r w:rsidRPr="0057540F">
        <w:rPr>
          <w:rFonts w:asciiTheme="minorHAnsi" w:hAnsiTheme="minorHAnsi" w:cstheme="majorBidi"/>
        </w:rPr>
        <w:t>- Parsons &amp; Whittemore Overseas Co., Inc. -v- Société Générale de l’Industrie du Papier RAKTA and Bank of America 508 F. 2d 969 (2nd Cir., 1974).</w:t>
      </w:r>
    </w:p>
  </w:footnote>
  <w:footnote w:id="200">
    <w:p w:rsidR="00581BA0" w:rsidRPr="0057540F" w:rsidRDefault="00581BA0" w:rsidP="0057540F">
      <w:pPr>
        <w:tabs>
          <w:tab w:val="left" w:pos="7740"/>
          <w:tab w:val="left" w:pos="7920"/>
        </w:tabs>
        <w:autoSpaceDE w:val="0"/>
        <w:autoSpaceDN w:val="0"/>
        <w:adjustRightInd w:val="0"/>
        <w:spacing w:after="0" w:line="240" w:lineRule="auto"/>
        <w:jc w:val="left"/>
        <w:rPr>
          <w:rFonts w:asciiTheme="minorHAnsi" w:hAnsiTheme="minorHAnsi" w:cs="Times New Roman"/>
          <w:sz w:val="20"/>
          <w:szCs w:val="20"/>
        </w:rPr>
      </w:pPr>
      <w:r w:rsidRPr="0057540F">
        <w:rPr>
          <w:rStyle w:val="FootnoteReference"/>
          <w:rFonts w:asciiTheme="minorHAnsi" w:hAnsiTheme="minorHAnsi"/>
          <w:sz w:val="20"/>
          <w:szCs w:val="20"/>
        </w:rPr>
        <w:footnoteRef/>
      </w:r>
      <w:r w:rsidRPr="0057540F">
        <w:rPr>
          <w:rFonts w:asciiTheme="minorHAnsi" w:hAnsiTheme="minorHAnsi"/>
          <w:sz w:val="20"/>
          <w:szCs w:val="20"/>
        </w:rPr>
        <w:t xml:space="preserve">- </w:t>
      </w:r>
      <w:r w:rsidRPr="0057540F">
        <w:rPr>
          <w:rFonts w:asciiTheme="minorHAnsi" w:hAnsiTheme="minorHAnsi" w:cs="Times New Roman"/>
          <w:i/>
          <w:iCs/>
          <w:color w:val="231F20"/>
          <w:sz w:val="20"/>
          <w:szCs w:val="20"/>
        </w:rPr>
        <w:t>Scherk -v- Alberto-Culver Co</w:t>
      </w:r>
      <w:r w:rsidRPr="0057540F">
        <w:rPr>
          <w:rFonts w:asciiTheme="minorHAnsi" w:hAnsiTheme="minorHAnsi" w:cs="Times New Roman"/>
          <w:color w:val="231F20"/>
          <w:sz w:val="20"/>
          <w:szCs w:val="20"/>
        </w:rPr>
        <w:t>., 417 U.S. 506, (1974).</w:t>
      </w:r>
    </w:p>
  </w:footnote>
  <w:footnote w:id="201">
    <w:p w:rsidR="00581BA0" w:rsidRPr="0057540F" w:rsidRDefault="00581BA0" w:rsidP="0057540F">
      <w:pPr>
        <w:pStyle w:val="FootnoteText"/>
        <w:tabs>
          <w:tab w:val="left" w:pos="7740"/>
          <w:tab w:val="left" w:pos="7920"/>
        </w:tabs>
        <w:jc w:val="left"/>
        <w:rPr>
          <w:rFonts w:asciiTheme="minorHAnsi" w:hAnsiTheme="minorHAnsi" w:cstheme="majorBidi"/>
        </w:rPr>
      </w:pPr>
      <w:r w:rsidRPr="0057540F">
        <w:rPr>
          <w:rStyle w:val="FootnoteReference"/>
          <w:rFonts w:asciiTheme="minorHAnsi" w:hAnsiTheme="minorHAnsi" w:cstheme="majorBidi"/>
        </w:rPr>
        <w:footnoteRef/>
      </w:r>
      <w:r w:rsidRPr="0057540F">
        <w:rPr>
          <w:rFonts w:asciiTheme="minorHAnsi" w:hAnsiTheme="minorHAnsi" w:cstheme="majorBidi"/>
        </w:rPr>
        <w:t>- Holtzmann, “United States”, Handbook, Suppl. 13, Sept. 1992, p. 39.</w:t>
      </w:r>
    </w:p>
  </w:footnote>
  <w:footnote w:id="202">
    <w:p w:rsidR="00581BA0" w:rsidRPr="00D07F53" w:rsidRDefault="00581BA0" w:rsidP="0057540F">
      <w:pPr>
        <w:pStyle w:val="FootnoteText"/>
        <w:tabs>
          <w:tab w:val="left" w:pos="7740"/>
          <w:tab w:val="left" w:pos="7920"/>
        </w:tabs>
        <w:jc w:val="left"/>
        <w:rPr>
          <w:rFonts w:cstheme="majorBidi"/>
          <w:rtl/>
        </w:rPr>
      </w:pPr>
      <w:r w:rsidRPr="0057540F">
        <w:rPr>
          <w:rStyle w:val="FootnoteReference"/>
          <w:rFonts w:asciiTheme="minorHAnsi" w:hAnsiTheme="minorHAnsi" w:cstheme="majorBidi"/>
        </w:rPr>
        <w:footnoteRef/>
      </w:r>
      <w:r w:rsidRPr="0057540F">
        <w:rPr>
          <w:rFonts w:asciiTheme="minorHAnsi" w:hAnsiTheme="minorHAnsi" w:cstheme="majorBidi"/>
        </w:rPr>
        <w:t>- Shearson/American Express, Inc. -v- McMahon, 482 U.S. 220 (1997); Rodriguez de Quijas –v- Shearson/American Express, Inc. 109 S.Ct 1917 (1989); and Mitsubushi Motors Corp. -v- Soler Chrysler-Plymouth Inc., 473 U.S. 614 (1985).</w:t>
      </w:r>
    </w:p>
  </w:footnote>
  <w:footnote w:id="203">
    <w:p w:rsidR="00581BA0" w:rsidRPr="0057540F" w:rsidRDefault="00581BA0" w:rsidP="0057540F">
      <w:pPr>
        <w:pStyle w:val="FootnoteText"/>
        <w:jc w:val="left"/>
        <w:rPr>
          <w:rFonts w:asciiTheme="minorHAnsi" w:hAnsiTheme="minorHAnsi" w:cstheme="majorBidi"/>
          <w:rtl/>
          <w:lang w:bidi="fa-IR"/>
        </w:rPr>
      </w:pPr>
      <w:r w:rsidRPr="0057540F">
        <w:rPr>
          <w:rStyle w:val="FootnoteReference"/>
          <w:rFonts w:asciiTheme="minorHAnsi" w:hAnsiTheme="minorHAnsi" w:cstheme="majorBidi"/>
        </w:rPr>
        <w:footnoteRef/>
      </w:r>
      <w:r w:rsidRPr="0057540F">
        <w:rPr>
          <w:rFonts w:asciiTheme="minorHAnsi" w:hAnsiTheme="minorHAnsi" w:cstheme="majorBidi"/>
        </w:rPr>
        <w:t>- Section 103(3) of The English Arbitration Act 1996.</w:t>
      </w:r>
    </w:p>
  </w:footnote>
  <w:footnote w:id="204">
    <w:p w:rsidR="00581BA0" w:rsidRPr="0057540F" w:rsidRDefault="00581BA0" w:rsidP="0057540F">
      <w:pPr>
        <w:pStyle w:val="FootnoteText"/>
        <w:jc w:val="left"/>
        <w:rPr>
          <w:rFonts w:asciiTheme="minorHAnsi" w:hAnsiTheme="minorHAnsi" w:cstheme="majorBidi"/>
          <w:lang w:bidi="fa-IR"/>
        </w:rPr>
      </w:pPr>
      <w:r w:rsidRPr="0057540F">
        <w:rPr>
          <w:rStyle w:val="FootnoteReference"/>
          <w:rFonts w:asciiTheme="minorHAnsi" w:hAnsiTheme="minorHAnsi" w:cstheme="majorBidi"/>
        </w:rPr>
        <w:footnoteRef/>
      </w:r>
      <w:r w:rsidRPr="0057540F">
        <w:rPr>
          <w:rFonts w:asciiTheme="minorHAnsi" w:hAnsiTheme="minorHAnsi" w:cstheme="majorBidi"/>
        </w:rPr>
        <w:t>- Veeder, “England”, Handbook, Suppl. 23, Mar. 1997, p. 66.</w:t>
      </w:r>
    </w:p>
  </w:footnote>
  <w:footnote w:id="205">
    <w:p w:rsidR="00581BA0" w:rsidRPr="0057540F" w:rsidRDefault="00581BA0" w:rsidP="0057540F">
      <w:pPr>
        <w:autoSpaceDE w:val="0"/>
        <w:autoSpaceDN w:val="0"/>
        <w:adjustRightInd w:val="0"/>
        <w:spacing w:after="0" w:line="240" w:lineRule="auto"/>
        <w:jc w:val="left"/>
        <w:rPr>
          <w:rFonts w:asciiTheme="minorHAnsi" w:hAnsiTheme="minorHAnsi" w:cs="Times New Roman"/>
          <w:i/>
          <w:iCs/>
          <w:color w:val="231F20"/>
          <w:sz w:val="20"/>
          <w:szCs w:val="20"/>
          <w:rtl/>
        </w:rPr>
      </w:pPr>
      <w:r w:rsidRPr="0057540F">
        <w:rPr>
          <w:rStyle w:val="FootnoteReference"/>
          <w:rFonts w:asciiTheme="minorHAnsi" w:hAnsiTheme="minorHAnsi" w:cstheme="majorBidi"/>
          <w:sz w:val="20"/>
          <w:szCs w:val="20"/>
        </w:rPr>
        <w:footnoteRef/>
      </w:r>
      <w:r w:rsidRPr="0057540F">
        <w:rPr>
          <w:rFonts w:asciiTheme="minorHAnsi" w:hAnsiTheme="minorHAnsi" w:cstheme="majorBidi"/>
          <w:sz w:val="20"/>
          <w:szCs w:val="20"/>
        </w:rPr>
        <w:t xml:space="preserve">- </w:t>
      </w:r>
      <w:r w:rsidRPr="0057540F">
        <w:rPr>
          <w:rFonts w:asciiTheme="minorHAnsi" w:hAnsiTheme="minorHAnsi" w:cs="Times New Roman"/>
          <w:i/>
          <w:iCs/>
          <w:color w:val="231F20"/>
          <w:sz w:val="20"/>
          <w:szCs w:val="20"/>
        </w:rPr>
        <w:t>Renusagar Power Co. Ltd -v- General Electric Co</w:t>
      </w:r>
      <w:r w:rsidRPr="0057540F">
        <w:rPr>
          <w:rFonts w:asciiTheme="minorHAnsi" w:hAnsiTheme="minorHAnsi" w:cs="Times New Roman"/>
          <w:color w:val="231F20"/>
          <w:sz w:val="20"/>
          <w:szCs w:val="20"/>
        </w:rPr>
        <w:t xml:space="preserve">., </w:t>
      </w:r>
      <w:r w:rsidRPr="0057540F">
        <w:rPr>
          <w:rFonts w:asciiTheme="minorHAnsi" w:hAnsiTheme="minorHAnsi" w:cstheme="majorBidi"/>
          <w:sz w:val="20"/>
          <w:szCs w:val="20"/>
        </w:rPr>
        <w:t>reported in (1995), XX Yearbook 681.</w:t>
      </w:r>
    </w:p>
  </w:footnote>
  <w:footnote w:id="206">
    <w:p w:rsidR="00581BA0" w:rsidRPr="0057540F" w:rsidRDefault="00581BA0" w:rsidP="0057540F">
      <w:pPr>
        <w:pStyle w:val="FootnoteText"/>
        <w:tabs>
          <w:tab w:val="left" w:pos="7920"/>
        </w:tabs>
        <w:jc w:val="left"/>
        <w:rPr>
          <w:rFonts w:asciiTheme="minorHAnsi" w:hAnsiTheme="minorHAnsi" w:cstheme="majorBidi"/>
          <w:lang w:bidi="fa-IR"/>
        </w:rPr>
      </w:pPr>
      <w:r w:rsidRPr="0057540F">
        <w:rPr>
          <w:rStyle w:val="FootnoteReference"/>
          <w:rFonts w:asciiTheme="minorHAnsi" w:hAnsiTheme="minorHAnsi" w:cstheme="majorBidi"/>
        </w:rPr>
        <w:footnoteRef/>
      </w:r>
      <w:r w:rsidRPr="0057540F">
        <w:rPr>
          <w:rFonts w:asciiTheme="minorHAnsi" w:hAnsiTheme="minorHAnsi" w:cstheme="majorBidi"/>
        </w:rPr>
        <w:t xml:space="preserve">- Hebei Import and Export Corporation -v- Polytek Engineering Co. Ltd., </w:t>
      </w:r>
      <w:r w:rsidRPr="0057540F">
        <w:rPr>
          <w:rFonts w:asciiTheme="minorHAnsi" w:hAnsiTheme="minorHAnsi" w:cs="Times New Roman"/>
          <w:color w:val="231F20"/>
        </w:rPr>
        <w:t xml:space="preserve">reported in (1999) XXIV </w:t>
      </w:r>
      <w:r w:rsidRPr="0057540F">
        <w:rPr>
          <w:rFonts w:asciiTheme="minorHAnsi" w:hAnsiTheme="minorHAnsi" w:cs="Times New Roman"/>
          <w:i/>
          <w:iCs/>
          <w:color w:val="231F20"/>
        </w:rPr>
        <w:t xml:space="preserve">Yearbook </w:t>
      </w:r>
      <w:r w:rsidRPr="0057540F">
        <w:rPr>
          <w:rFonts w:asciiTheme="minorHAnsi" w:hAnsiTheme="minorHAnsi" w:cs="Times New Roman"/>
          <w:color w:val="231F20"/>
        </w:rPr>
        <w:t>652, per Bokhary PJ.</w:t>
      </w:r>
    </w:p>
  </w:footnote>
  <w:footnote w:id="207">
    <w:p w:rsidR="00581BA0" w:rsidRDefault="00581BA0" w:rsidP="0057540F">
      <w:pPr>
        <w:pStyle w:val="FootnoteText"/>
        <w:tabs>
          <w:tab w:val="left" w:pos="7920"/>
        </w:tabs>
        <w:jc w:val="left"/>
        <w:rPr>
          <w:rtl/>
          <w:lang w:bidi="fa-IR"/>
        </w:rPr>
      </w:pPr>
      <w:r w:rsidRPr="0057540F">
        <w:rPr>
          <w:rStyle w:val="FootnoteReference"/>
          <w:rFonts w:asciiTheme="minorHAnsi" w:hAnsiTheme="minorHAnsi"/>
        </w:rPr>
        <w:footnoteRef/>
      </w:r>
      <w:r w:rsidRPr="0057540F">
        <w:rPr>
          <w:rFonts w:asciiTheme="minorHAnsi" w:hAnsiTheme="minorHAnsi"/>
        </w:rPr>
        <w:t xml:space="preserve">- </w:t>
      </w:r>
      <w:r w:rsidRPr="0057540F">
        <w:rPr>
          <w:rFonts w:asciiTheme="minorHAnsi" w:hAnsiTheme="minorHAnsi" w:cs="Times New Roman"/>
          <w:i/>
          <w:iCs/>
          <w:color w:val="231F20"/>
        </w:rPr>
        <w:t>Ibid</w:t>
      </w:r>
      <w:r w:rsidRPr="0057540F">
        <w:rPr>
          <w:rFonts w:asciiTheme="minorHAnsi" w:hAnsiTheme="minorHAnsi" w:cs="Times New Roman"/>
          <w:color w:val="231F20"/>
        </w:rPr>
        <w:t>., per Mason NPJ.</w:t>
      </w:r>
    </w:p>
  </w:footnote>
  <w:footnote w:id="208">
    <w:p w:rsidR="00581BA0" w:rsidRPr="0057540F" w:rsidRDefault="00581BA0" w:rsidP="0057540F">
      <w:pPr>
        <w:pStyle w:val="FootnoteText"/>
        <w:jc w:val="left"/>
        <w:rPr>
          <w:rFonts w:asciiTheme="minorHAnsi" w:hAnsiTheme="minorHAnsi"/>
          <w:lang w:bidi="fa-IR"/>
        </w:rPr>
      </w:pPr>
      <w:r w:rsidRPr="0057540F">
        <w:rPr>
          <w:rStyle w:val="FootnoteReference"/>
          <w:rFonts w:asciiTheme="minorHAnsi" w:hAnsiTheme="minorHAnsi" w:cstheme="majorBidi"/>
        </w:rPr>
        <w:footnoteRef/>
      </w:r>
      <w:r w:rsidRPr="0057540F">
        <w:rPr>
          <w:rFonts w:asciiTheme="minorHAnsi" w:hAnsiTheme="minorHAnsi" w:cstheme="majorBidi"/>
        </w:rPr>
        <w:t>- Excelsior Film TV, Srl -v- UGC-PHOA, decision dated 24 March 1998.</w:t>
      </w:r>
    </w:p>
  </w:footnote>
  <w:footnote w:id="209">
    <w:p w:rsidR="00581BA0" w:rsidRPr="0057540F" w:rsidRDefault="00581BA0" w:rsidP="0057540F">
      <w:pPr>
        <w:pStyle w:val="FootnoteText"/>
        <w:jc w:val="left"/>
        <w:rPr>
          <w:rFonts w:asciiTheme="minorHAnsi" w:hAnsiTheme="minorHAnsi" w:cstheme="majorBidi"/>
          <w:lang w:bidi="fa-IR"/>
        </w:rPr>
      </w:pPr>
      <w:r w:rsidRPr="0057540F">
        <w:rPr>
          <w:rStyle w:val="FootnoteReference"/>
          <w:rFonts w:asciiTheme="minorHAnsi" w:hAnsiTheme="minorHAnsi" w:cstheme="majorBidi"/>
        </w:rPr>
        <w:footnoteRef/>
      </w:r>
      <w:r w:rsidRPr="0057540F">
        <w:rPr>
          <w:rFonts w:asciiTheme="minorHAnsi" w:hAnsiTheme="minorHAnsi" w:cstheme="majorBidi"/>
        </w:rPr>
        <w:t>- International Law Association, “Interim Report on Public Policy As a Bar to Enforcement of International Arbitral Awards”, London Conference (2000), p.15.</w:t>
      </w:r>
    </w:p>
  </w:footnote>
  <w:footnote w:id="210">
    <w:p w:rsidR="00581BA0" w:rsidRPr="00B4725C" w:rsidRDefault="00581BA0" w:rsidP="0057540F">
      <w:pPr>
        <w:pStyle w:val="FootnoteText"/>
        <w:jc w:val="left"/>
        <w:rPr>
          <w:rFonts w:asciiTheme="minorHAnsi" w:hAnsiTheme="minorHAnsi" w:cstheme="majorBidi"/>
        </w:rPr>
      </w:pPr>
      <w:r w:rsidRPr="0057540F">
        <w:rPr>
          <w:rStyle w:val="FootnoteReference"/>
          <w:rFonts w:asciiTheme="minorHAnsi" w:hAnsiTheme="minorHAnsi" w:cstheme="majorBidi"/>
        </w:rPr>
        <w:footnoteRef/>
      </w:r>
      <w:r w:rsidRPr="0057540F">
        <w:rPr>
          <w:rFonts w:asciiTheme="minorHAnsi" w:hAnsiTheme="minorHAnsi" w:cstheme="majorBidi"/>
        </w:rPr>
        <w:t>- Böckstiegel, “Public Policy and Arbitrability” in ICCA Congress Series No. 3, Comparative Arbitration Practice and Public Policy in Arbitration (Kluwer, 1987), p. 177.</w:t>
      </w:r>
    </w:p>
  </w:footnote>
  <w:footnote w:id="211">
    <w:p w:rsidR="00581BA0" w:rsidRPr="00FF4527" w:rsidRDefault="00581BA0" w:rsidP="0057540F">
      <w:pPr>
        <w:pStyle w:val="FootnoteText"/>
        <w:jc w:val="left"/>
        <w:rPr>
          <w:rtl/>
          <w:lang w:bidi="fa-IR"/>
        </w:rPr>
      </w:pPr>
      <w:r w:rsidRPr="00B4725C">
        <w:rPr>
          <w:rStyle w:val="FootnoteReference"/>
          <w:rFonts w:asciiTheme="minorHAnsi" w:hAnsiTheme="minorHAnsi" w:cstheme="majorBidi"/>
        </w:rPr>
        <w:footnoteRef/>
      </w:r>
      <w:r w:rsidRPr="00B4725C">
        <w:rPr>
          <w:rFonts w:asciiTheme="minorHAnsi" w:hAnsiTheme="minorHAnsi" w:cstheme="majorBidi"/>
        </w:rPr>
        <w:t>- Van den Berg, The New York Convention of 1958 (Kluwer, 1981), p. 360.</w:t>
      </w:r>
    </w:p>
  </w:footnote>
  <w:footnote w:id="212">
    <w:p w:rsidR="00581BA0" w:rsidRPr="00AE17B9" w:rsidRDefault="00581BA0" w:rsidP="0057540F">
      <w:pPr>
        <w:pStyle w:val="FootnoteText"/>
        <w:jc w:val="both"/>
        <w:rPr>
          <w:rFonts w:asciiTheme="minorHAnsi" w:hAnsiTheme="minorHAnsi"/>
          <w:lang w:bidi="fa-IR"/>
        </w:rPr>
      </w:pPr>
      <w:r w:rsidRPr="00AE17B9">
        <w:rPr>
          <w:rStyle w:val="FootnoteReference"/>
          <w:rFonts w:asciiTheme="minorHAnsi" w:hAnsiTheme="minorHAnsi"/>
        </w:rPr>
        <w:footnoteRef/>
      </w:r>
      <w:r w:rsidRPr="00AE17B9">
        <w:rPr>
          <w:rFonts w:asciiTheme="minorHAnsi" w:hAnsiTheme="minorHAnsi"/>
        </w:rPr>
        <w:t xml:space="preserve">- </w:t>
      </w:r>
      <w:r w:rsidRPr="00AE17B9">
        <w:rPr>
          <w:rFonts w:asciiTheme="minorHAnsi" w:hAnsiTheme="minorHAnsi" w:cstheme="majorBidi"/>
        </w:rPr>
        <w:t>International Law Association, “Final Report on Public Policy As a Bar to Enforcement of International Arbitral Awards”, New Delhi Conference (2002), p.2.</w:t>
      </w:r>
    </w:p>
  </w:footnote>
  <w:footnote w:id="213">
    <w:p w:rsidR="00581BA0" w:rsidRPr="00AE17B9" w:rsidRDefault="00581BA0" w:rsidP="0057540F">
      <w:pPr>
        <w:pStyle w:val="FootnoteText"/>
        <w:jc w:val="both"/>
        <w:rPr>
          <w:rFonts w:asciiTheme="minorHAnsi" w:hAnsiTheme="minorHAnsi" w:cstheme="majorBidi"/>
          <w:lang w:bidi="fa-IR"/>
        </w:rPr>
      </w:pPr>
      <w:r w:rsidRPr="00AE17B9">
        <w:rPr>
          <w:rStyle w:val="FootnoteReference"/>
          <w:rFonts w:asciiTheme="minorHAnsi" w:hAnsiTheme="minorHAnsi" w:cstheme="majorBidi"/>
        </w:rPr>
        <w:footnoteRef/>
      </w:r>
      <w:r w:rsidRPr="00AE17B9">
        <w:rPr>
          <w:rFonts w:asciiTheme="minorHAnsi" w:hAnsiTheme="minorHAnsi" w:cstheme="majorBidi"/>
        </w:rPr>
        <w:t>- comments of Judge Smith in Parsons &amp; Whittemore Overseas Co., Inc. -v- Société Générale de l’Industrie du Papier RAKTand Bank of America 508 F. 2d 969 (2nd Cir., 1974).</w:t>
      </w:r>
    </w:p>
  </w:footnote>
  <w:footnote w:id="214">
    <w:p w:rsidR="00581BA0" w:rsidRPr="00AE17B9" w:rsidRDefault="00581BA0" w:rsidP="0057540F">
      <w:pPr>
        <w:pStyle w:val="FootnoteText"/>
        <w:jc w:val="both"/>
        <w:rPr>
          <w:rFonts w:asciiTheme="minorHAnsi" w:hAnsiTheme="minorHAnsi" w:cstheme="majorBidi"/>
          <w:rtl/>
        </w:rPr>
      </w:pPr>
      <w:r w:rsidRPr="00AE17B9">
        <w:rPr>
          <w:rStyle w:val="FootnoteReference"/>
          <w:rFonts w:asciiTheme="minorHAnsi" w:hAnsiTheme="minorHAnsi"/>
        </w:rPr>
        <w:footnoteRef/>
      </w:r>
      <w:r w:rsidRPr="00AE17B9">
        <w:rPr>
          <w:rFonts w:asciiTheme="minorHAnsi" w:hAnsiTheme="minorHAnsi"/>
        </w:rPr>
        <w:t xml:space="preserve">- </w:t>
      </w:r>
      <w:r w:rsidRPr="00AE17B9">
        <w:rPr>
          <w:rFonts w:asciiTheme="minorHAnsi" w:hAnsiTheme="minorHAnsi" w:cstheme="majorBidi"/>
        </w:rPr>
        <w:t>Mitsubishi Motors Corp. v. Soler Chrysler-Plymouth Inc.,</w:t>
      </w:r>
      <w:r w:rsidRPr="00AE17B9">
        <w:rPr>
          <w:rFonts w:asciiTheme="minorHAnsi" w:hAnsiTheme="minorHAnsi" w:cstheme="majorBidi"/>
          <w:rtl/>
          <w:lang w:bidi="fa-IR"/>
        </w:rPr>
        <w:t xml:space="preserve"> </w:t>
      </w:r>
      <w:r w:rsidRPr="00AE17B9">
        <w:rPr>
          <w:rFonts w:asciiTheme="minorHAnsi" w:hAnsiTheme="minorHAnsi" w:cstheme="majorBidi"/>
        </w:rPr>
        <w:t>No. 83-1569,</w:t>
      </w:r>
      <w:r w:rsidRPr="00AE17B9">
        <w:rPr>
          <w:rFonts w:asciiTheme="minorHAnsi" w:hAnsiTheme="minorHAnsi" w:cstheme="majorBidi"/>
          <w:rtl/>
          <w:lang w:bidi="fa-IR"/>
        </w:rPr>
        <w:t xml:space="preserve"> </w:t>
      </w:r>
      <w:r w:rsidRPr="00AE17B9">
        <w:rPr>
          <w:rFonts w:asciiTheme="minorHAnsi" w:hAnsiTheme="minorHAnsi" w:cstheme="majorBidi"/>
        </w:rPr>
        <w:t>1985.</w:t>
      </w:r>
    </w:p>
  </w:footnote>
  <w:footnote w:id="215">
    <w:p w:rsidR="00581BA0" w:rsidRPr="00AE17B9" w:rsidRDefault="00581BA0" w:rsidP="0057540F">
      <w:pPr>
        <w:pStyle w:val="FootnoteText"/>
        <w:jc w:val="both"/>
        <w:rPr>
          <w:rFonts w:asciiTheme="minorHAnsi" w:hAnsiTheme="minorHAnsi" w:cstheme="majorBidi"/>
          <w:rtl/>
          <w:lang w:bidi="fa-IR"/>
        </w:rPr>
      </w:pPr>
      <w:r w:rsidRPr="00AE17B9">
        <w:rPr>
          <w:rStyle w:val="FootnoteReference"/>
          <w:rFonts w:asciiTheme="minorHAnsi" w:hAnsiTheme="minorHAnsi" w:cstheme="majorBidi"/>
        </w:rPr>
        <w:footnoteRef/>
      </w:r>
      <w:r w:rsidRPr="00AE17B9">
        <w:rPr>
          <w:rFonts w:asciiTheme="minorHAnsi" w:hAnsiTheme="minorHAnsi" w:cstheme="majorBidi"/>
        </w:rPr>
        <w:t>- International Law Association, “Interim Report on Public Policy As a Bar to Enforcement of International Arbitral Awards”, London Conference (2000), p. 16.</w:t>
      </w:r>
    </w:p>
  </w:footnote>
  <w:footnote w:id="216">
    <w:p w:rsidR="00581BA0" w:rsidRPr="00AE17B9" w:rsidRDefault="00581BA0" w:rsidP="0057540F">
      <w:pPr>
        <w:pStyle w:val="FootnoteText"/>
        <w:jc w:val="both"/>
        <w:rPr>
          <w:rFonts w:asciiTheme="minorHAnsi" w:hAnsiTheme="minorHAnsi" w:cstheme="majorBidi"/>
        </w:rPr>
      </w:pPr>
      <w:r w:rsidRPr="00AE17B9">
        <w:rPr>
          <w:rStyle w:val="FootnoteReference"/>
          <w:rFonts w:asciiTheme="minorHAnsi" w:hAnsiTheme="minorHAnsi" w:cstheme="majorBidi"/>
        </w:rPr>
        <w:footnoteRef/>
      </w:r>
      <w:r w:rsidRPr="00AE17B9">
        <w:rPr>
          <w:rFonts w:asciiTheme="minorHAnsi" w:hAnsiTheme="minorHAnsi" w:cstheme="majorBidi"/>
        </w:rPr>
        <w:t>- Re an arbitration between Hainan Machinery Import and Export Corporation and Donald &amp; McArthy Pte. Ltd [1996] 1 SLR 34 at 46, per Judith Prakash J.</w:t>
      </w:r>
    </w:p>
    <w:p w:rsidR="00581BA0" w:rsidRDefault="00581BA0" w:rsidP="003602AD">
      <w:pPr>
        <w:pStyle w:val="FootnoteText"/>
        <w:rPr>
          <w:lang w:bidi="fa-IR"/>
        </w:rPr>
      </w:pPr>
    </w:p>
  </w:footnote>
  <w:footnote w:id="217">
    <w:p w:rsidR="00581BA0" w:rsidRPr="00AE17B9" w:rsidRDefault="00581BA0" w:rsidP="00AE17B9">
      <w:pPr>
        <w:pStyle w:val="FootnoteText"/>
        <w:jc w:val="left"/>
        <w:rPr>
          <w:rFonts w:asciiTheme="minorHAnsi" w:hAnsiTheme="minorHAnsi" w:cstheme="majorBidi"/>
          <w:lang w:bidi="fa-IR"/>
        </w:rPr>
      </w:pPr>
      <w:r w:rsidRPr="00AE17B9">
        <w:rPr>
          <w:rStyle w:val="FootnoteReference"/>
          <w:rFonts w:asciiTheme="minorHAnsi" w:hAnsiTheme="minorHAnsi" w:cstheme="majorBidi"/>
        </w:rPr>
        <w:footnoteRef/>
      </w:r>
      <w:r w:rsidRPr="00AE17B9">
        <w:rPr>
          <w:rFonts w:asciiTheme="minorHAnsi" w:hAnsiTheme="minorHAnsi" w:cstheme="majorBidi"/>
        </w:rPr>
        <w:t xml:space="preserve">- Omnium de Traitement et de Valorisation SA –v- Hilmarton Ltd, (1999), XXIV </w:t>
      </w:r>
      <w:r w:rsidRPr="00AE17B9">
        <w:rPr>
          <w:rFonts w:asciiTheme="minorHAnsi" w:hAnsiTheme="minorHAnsi" w:cstheme="majorBidi"/>
          <w:i/>
          <w:iCs/>
        </w:rPr>
        <w:t xml:space="preserve">Yearbook </w:t>
      </w:r>
      <w:r w:rsidRPr="00AE17B9">
        <w:rPr>
          <w:rFonts w:asciiTheme="minorHAnsi" w:hAnsiTheme="minorHAnsi" w:cstheme="majorBidi"/>
        </w:rPr>
        <w:t>777.</w:t>
      </w:r>
    </w:p>
  </w:footnote>
  <w:footnote w:id="218">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Batiffol and Lagarde, Droit International Privé (8 th edn., 1993), pp. 580-584.</w:t>
      </w:r>
    </w:p>
  </w:footnote>
  <w:footnote w:id="219">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Fouchard, Gaillard and Goldman on International Commercial Arbitration (ed. Gaillard and Savage) (Kluwer, 1999), paras. 1645-1662.</w:t>
      </w:r>
    </w:p>
  </w:footnote>
  <w:footnote w:id="220">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rPr>
        <w:footnoteRef/>
      </w:r>
      <w:r w:rsidRPr="0003261B">
        <w:rPr>
          <w:rFonts w:asciiTheme="minorHAnsi" w:hAnsiTheme="minorHAnsi"/>
        </w:rPr>
        <w:t xml:space="preserve">- </w:t>
      </w:r>
      <w:r w:rsidRPr="0003261B">
        <w:rPr>
          <w:rFonts w:asciiTheme="minorHAnsi" w:hAnsiTheme="minorHAnsi" w:cstheme="majorBidi"/>
        </w:rPr>
        <w:t>International Law Association, “Interim Report on Public Policy As a Bar to Enforcement of International Arbitral Awards”, London Conference (2000), p. 17.</w:t>
      </w:r>
    </w:p>
    <w:p w:rsidR="00581BA0" w:rsidRDefault="00581BA0" w:rsidP="003602AD">
      <w:pPr>
        <w:pStyle w:val="FootnoteText"/>
        <w:tabs>
          <w:tab w:val="right" w:pos="8280"/>
        </w:tabs>
        <w:rPr>
          <w:lang w:bidi="fa-IR"/>
        </w:rPr>
      </w:pPr>
    </w:p>
  </w:footnote>
  <w:footnote w:id="221">
    <w:p w:rsidR="00581BA0" w:rsidRPr="00AE17B9" w:rsidRDefault="00581BA0" w:rsidP="00AE17B9">
      <w:pPr>
        <w:pStyle w:val="FootnoteText"/>
        <w:jc w:val="left"/>
        <w:rPr>
          <w:rFonts w:asciiTheme="minorHAnsi" w:hAnsiTheme="minorHAnsi" w:cstheme="majorBidi"/>
          <w:rtl/>
          <w:lang w:bidi="fa-IR"/>
        </w:rPr>
      </w:pPr>
      <w:r w:rsidRPr="00AE17B9">
        <w:rPr>
          <w:rStyle w:val="FootnoteReference"/>
          <w:rFonts w:asciiTheme="minorHAnsi" w:hAnsiTheme="minorHAnsi" w:cstheme="majorBidi"/>
        </w:rPr>
        <w:footnoteRef/>
      </w:r>
      <w:r w:rsidRPr="00AE17B9">
        <w:rPr>
          <w:rFonts w:asciiTheme="minorHAnsi" w:hAnsiTheme="minorHAnsi" w:cstheme="majorBidi"/>
        </w:rPr>
        <w:t>- Mayer, “Mandatory rules of law in international arbitration”, (1986) 2 Arbitration International 274 at 275.</w:t>
      </w:r>
    </w:p>
  </w:footnote>
  <w:footnote w:id="222">
    <w:p w:rsidR="00581BA0" w:rsidRPr="0003261B" w:rsidRDefault="00581BA0" w:rsidP="00AE17B9">
      <w:pPr>
        <w:pStyle w:val="FootnoteText"/>
        <w:jc w:val="left"/>
        <w:rPr>
          <w:rFonts w:ascii="Calibri" w:hAnsi="Calibr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Blessing, “Impact of the Extraterritorial</w:t>
      </w:r>
      <w:r w:rsidRPr="0003261B">
        <w:rPr>
          <w:rFonts w:asciiTheme="minorHAnsi" w:hAnsiTheme="minorHAnsi" w:cstheme="majorBidi"/>
          <w:rtl/>
        </w:rPr>
        <w:t xml:space="preserve"> </w:t>
      </w:r>
      <w:r w:rsidRPr="0003261B">
        <w:rPr>
          <w:rFonts w:asciiTheme="minorHAnsi" w:hAnsiTheme="minorHAnsi" w:cstheme="majorBidi"/>
        </w:rPr>
        <w:t>Application of Mandatory Rules of Law on International Contracts”, vol. 9 of the Swiss Commercial Law Series, 1999.</w:t>
      </w:r>
    </w:p>
  </w:footnote>
  <w:footnote w:id="223">
    <w:p w:rsidR="00581BA0" w:rsidRPr="0003261B" w:rsidRDefault="00581BA0" w:rsidP="00514D0B">
      <w:pPr>
        <w:pStyle w:val="FootnoteText"/>
        <w:jc w:val="left"/>
        <w:rPr>
          <w:rFonts w:asciiTheme="minorHAnsi" w:hAnsiTheme="minorHAnsi"/>
          <w:rtl/>
          <w:lang w:bidi="fa-IR"/>
        </w:rPr>
      </w:pPr>
      <w:r w:rsidRPr="0003261B">
        <w:rPr>
          <w:rStyle w:val="FootnoteReference"/>
          <w:rFonts w:asciiTheme="minorHAnsi" w:hAnsiTheme="minorHAnsi"/>
        </w:rPr>
        <w:footnoteRef/>
      </w:r>
      <w:r w:rsidRPr="0003261B">
        <w:rPr>
          <w:rFonts w:asciiTheme="minorHAnsi" w:hAnsiTheme="minorHAnsi"/>
        </w:rPr>
        <w:t>- Briner, “Switzerland”, Handbook, Suppl. 13, Sept. 1992, p. 33.</w:t>
      </w:r>
    </w:p>
  </w:footnote>
  <w:footnote w:id="224">
    <w:p w:rsidR="00581BA0" w:rsidRPr="0003261B" w:rsidRDefault="00581BA0" w:rsidP="00514D0B">
      <w:pPr>
        <w:pStyle w:val="FootnoteText"/>
        <w:jc w:val="left"/>
        <w:rPr>
          <w:rFonts w:asciiTheme="minorHAnsi" w:hAnsiTheme="minorHAnsi"/>
          <w:rtl/>
          <w:lang w:bidi="fa-IR"/>
        </w:rPr>
      </w:pPr>
      <w:r w:rsidRPr="0003261B">
        <w:rPr>
          <w:rStyle w:val="FootnoteReference"/>
          <w:rFonts w:asciiTheme="minorHAnsi" w:hAnsiTheme="minorHAnsi"/>
        </w:rPr>
        <w:footnoteRef/>
      </w:r>
      <w:r w:rsidRPr="0003261B">
        <w:rPr>
          <w:rFonts w:asciiTheme="minorHAnsi" w:hAnsiTheme="minorHAnsi"/>
        </w:rPr>
        <w:t xml:space="preserve">- ATF 116 II 634, reported in (1992), XVII </w:t>
      </w:r>
      <w:r w:rsidRPr="0003261B">
        <w:rPr>
          <w:rFonts w:asciiTheme="minorHAnsi" w:hAnsiTheme="minorHAnsi"/>
          <w:i/>
          <w:iCs/>
        </w:rPr>
        <w:t xml:space="preserve">Yearbook </w:t>
      </w:r>
      <w:r w:rsidRPr="0003261B">
        <w:rPr>
          <w:rFonts w:asciiTheme="minorHAnsi" w:hAnsiTheme="minorHAnsi"/>
        </w:rPr>
        <w:t>279.</w:t>
      </w:r>
    </w:p>
  </w:footnote>
  <w:footnote w:id="225">
    <w:p w:rsidR="00581BA0" w:rsidRPr="00514D0B" w:rsidRDefault="00581BA0" w:rsidP="00514D0B">
      <w:pPr>
        <w:pStyle w:val="FootnoteText"/>
        <w:jc w:val="left"/>
        <w:rPr>
          <w:rFonts w:asciiTheme="minorHAnsi" w:hAnsiTheme="minorHAnsi"/>
          <w:rtl/>
          <w:lang w:bidi="fa-IR"/>
        </w:rPr>
      </w:pPr>
      <w:r w:rsidRPr="0003261B">
        <w:rPr>
          <w:rStyle w:val="FootnoteReference"/>
          <w:rFonts w:asciiTheme="minorHAnsi" w:hAnsiTheme="minorHAnsi"/>
        </w:rPr>
        <w:footnoteRef/>
      </w:r>
      <w:r w:rsidRPr="0003261B">
        <w:rPr>
          <w:rFonts w:asciiTheme="minorHAnsi" w:hAnsiTheme="minorHAnsi"/>
        </w:rPr>
        <w:t>- Republique de Cote d’Ivoire -v- Norbert Beyrard, 12 Jan. 1993, (1993) Rev. Arb. 685.</w:t>
      </w:r>
    </w:p>
  </w:footnote>
  <w:footnote w:id="226">
    <w:p w:rsidR="00581BA0" w:rsidRPr="00FF4527" w:rsidRDefault="00581BA0" w:rsidP="00514D0B">
      <w:pPr>
        <w:pStyle w:val="FootnoteText"/>
        <w:jc w:val="left"/>
        <w:rPr>
          <w:rtl/>
          <w:lang w:bidi="fa-IR"/>
        </w:rPr>
      </w:pPr>
      <w:r w:rsidRPr="00514D0B">
        <w:rPr>
          <w:rStyle w:val="FootnoteReference"/>
          <w:rFonts w:asciiTheme="minorHAnsi" w:hAnsiTheme="minorHAnsi"/>
        </w:rPr>
        <w:footnoteRef/>
      </w:r>
      <w:r w:rsidRPr="00514D0B">
        <w:rPr>
          <w:rFonts w:asciiTheme="minorHAnsi" w:hAnsiTheme="minorHAnsi"/>
        </w:rPr>
        <w:t>- International Law Association, “Interim Report on Public Policy As a Bar to Enforcement of International Arbitral Awards”, London Conference (2000), p. 21.</w:t>
      </w:r>
    </w:p>
  </w:footnote>
  <w:footnote w:id="227">
    <w:p w:rsidR="00581BA0" w:rsidRPr="00514D0B" w:rsidRDefault="00581BA0" w:rsidP="00514D0B">
      <w:pPr>
        <w:pStyle w:val="FootnoteText"/>
        <w:jc w:val="left"/>
        <w:rPr>
          <w:rFonts w:asciiTheme="minorHAnsi" w:hAnsiTheme="minorHAnsi"/>
          <w:rtl/>
        </w:rPr>
      </w:pPr>
      <w:r w:rsidRPr="00514D0B">
        <w:rPr>
          <w:rStyle w:val="FootnoteReference"/>
          <w:rFonts w:asciiTheme="minorHAnsi" w:hAnsiTheme="minorHAnsi"/>
        </w:rPr>
        <w:footnoteRef/>
      </w:r>
      <w:r w:rsidRPr="00514D0B">
        <w:rPr>
          <w:rFonts w:asciiTheme="minorHAnsi" w:hAnsiTheme="minorHAnsi"/>
        </w:rPr>
        <w:t>-</w:t>
      </w:r>
      <w:r w:rsidRPr="00514D0B">
        <w:rPr>
          <w:rFonts w:asciiTheme="minorHAnsi" w:hAnsiTheme="minorHAnsi" w:cs="Times New Roman"/>
          <w:color w:val="231F20"/>
        </w:rPr>
        <w:t xml:space="preserve"> </w:t>
      </w:r>
      <w:r w:rsidRPr="00514D0B">
        <w:rPr>
          <w:rFonts w:asciiTheme="minorHAnsi" w:hAnsiTheme="minorHAnsi"/>
        </w:rPr>
        <w:t>ICC Case No. 5946, Reported in (1991) XVI Yearbook 97.</w:t>
      </w:r>
    </w:p>
  </w:footnote>
  <w:footnote w:id="228">
    <w:p w:rsidR="00581BA0" w:rsidRPr="00514D0B" w:rsidRDefault="00581BA0" w:rsidP="00514D0B">
      <w:pPr>
        <w:pStyle w:val="FootnoteText"/>
        <w:jc w:val="left"/>
        <w:rPr>
          <w:rFonts w:asciiTheme="minorHAnsi" w:hAnsiTheme="minorHAnsi" w:cstheme="majorBidi"/>
          <w:rtl/>
          <w:lang w:bidi="fa-IR"/>
        </w:rPr>
      </w:pPr>
      <w:r w:rsidRPr="00514D0B">
        <w:rPr>
          <w:rStyle w:val="FootnoteReference"/>
          <w:rFonts w:asciiTheme="minorHAnsi" w:hAnsiTheme="minorHAnsi" w:cstheme="majorBidi"/>
        </w:rPr>
        <w:footnoteRef/>
      </w:r>
      <w:r w:rsidRPr="00514D0B">
        <w:rPr>
          <w:rFonts w:asciiTheme="minorHAnsi" w:hAnsiTheme="minorHAnsi" w:cstheme="majorBidi"/>
        </w:rPr>
        <w:t>- Willis -v- Shearson and American Express Inc. 569 F. Supp. 821 (DCNC, 1983).</w:t>
      </w:r>
    </w:p>
  </w:footnote>
  <w:footnote w:id="229">
    <w:p w:rsidR="00581BA0" w:rsidRPr="00514D0B" w:rsidRDefault="00581BA0" w:rsidP="00514D0B">
      <w:pPr>
        <w:pStyle w:val="FootnoteText"/>
        <w:jc w:val="left"/>
        <w:rPr>
          <w:rFonts w:asciiTheme="minorHAnsi" w:hAnsiTheme="minorHAnsi" w:cstheme="majorBidi"/>
          <w:rtl/>
          <w:lang w:bidi="fa-IR"/>
        </w:rPr>
      </w:pPr>
      <w:r w:rsidRPr="00514D0B">
        <w:rPr>
          <w:rStyle w:val="FootnoteReference"/>
          <w:rFonts w:asciiTheme="minorHAnsi" w:hAnsiTheme="minorHAnsi" w:cstheme="majorBidi"/>
        </w:rPr>
        <w:footnoteRef/>
      </w:r>
      <w:r w:rsidRPr="00514D0B">
        <w:rPr>
          <w:rFonts w:asciiTheme="minorHAnsi" w:hAnsiTheme="minorHAnsi" w:cstheme="majorBidi"/>
        </w:rPr>
        <w:t>- Garrity -v- Lyle Staurt Inc. 40 N.Y. 2d 354 (1976).</w:t>
      </w:r>
    </w:p>
  </w:footnote>
  <w:footnote w:id="230">
    <w:p w:rsidR="00581BA0" w:rsidRPr="00514D0B" w:rsidRDefault="00581BA0" w:rsidP="00514D0B">
      <w:pPr>
        <w:pStyle w:val="FootnoteText"/>
        <w:jc w:val="left"/>
        <w:rPr>
          <w:rFonts w:asciiTheme="minorHAnsi" w:hAnsiTheme="minorHAnsi" w:cstheme="majorBidi"/>
          <w:rtl/>
        </w:rPr>
      </w:pPr>
      <w:r w:rsidRPr="00514D0B">
        <w:rPr>
          <w:rStyle w:val="FootnoteReference"/>
          <w:rFonts w:asciiTheme="minorHAnsi" w:hAnsiTheme="minorHAnsi" w:cstheme="majorBidi"/>
        </w:rPr>
        <w:footnoteRef/>
      </w:r>
      <w:r w:rsidRPr="00514D0B">
        <w:rPr>
          <w:rFonts w:asciiTheme="minorHAnsi" w:hAnsiTheme="minorHAnsi" w:cstheme="majorBidi"/>
        </w:rPr>
        <w:t>- El-Ahdab, “General Introduction on Arbitration in Arab Countries”, International Handbook on Commercial Arbitration (hereinafter “Handbook”) (Kluwer), Suppl. 27, Dec. 1998, Annex 1, p. 23.</w:t>
      </w:r>
    </w:p>
  </w:footnote>
  <w:footnote w:id="231">
    <w:p w:rsidR="00581BA0" w:rsidRPr="0003261B" w:rsidRDefault="00581BA0" w:rsidP="0003261B">
      <w:pPr>
        <w:pStyle w:val="FootnoteText"/>
        <w:jc w:val="left"/>
        <w:rPr>
          <w:rFonts w:asciiTheme="minorHAnsi" w:hAnsiTheme="minorHAnsi"/>
          <w:rtl/>
          <w:lang w:bidi="fa-IR"/>
        </w:rPr>
      </w:pPr>
      <w:r w:rsidRPr="0003261B">
        <w:rPr>
          <w:rStyle w:val="FootnoteReference"/>
          <w:rFonts w:asciiTheme="minorHAnsi" w:hAnsiTheme="minorHAnsi"/>
        </w:rPr>
        <w:footnoteRef/>
      </w:r>
      <w:r w:rsidRPr="0003261B">
        <w:rPr>
          <w:rFonts w:asciiTheme="minorHAnsi" w:hAnsiTheme="minorHAnsi"/>
        </w:rPr>
        <w:t>- Aleatory Contracts</w:t>
      </w:r>
    </w:p>
  </w:footnote>
  <w:footnote w:id="232">
    <w:p w:rsidR="00581BA0" w:rsidRPr="0003261B" w:rsidRDefault="00581BA0" w:rsidP="0003261B">
      <w:pPr>
        <w:pStyle w:val="FootnoteText"/>
        <w:jc w:val="left"/>
        <w:rPr>
          <w:rFonts w:asciiTheme="minorHAnsi" w:hAnsiTheme="minorHAnsi"/>
          <w:rtl/>
        </w:rPr>
      </w:pPr>
      <w:r w:rsidRPr="0003261B">
        <w:rPr>
          <w:rStyle w:val="FootnoteReference"/>
          <w:rFonts w:asciiTheme="minorHAnsi" w:hAnsiTheme="minorHAnsi" w:cstheme="majorBidi"/>
        </w:rPr>
        <w:footnoteRef/>
      </w:r>
      <w:r w:rsidRPr="0003261B">
        <w:rPr>
          <w:rFonts w:asciiTheme="minorHAnsi" w:hAnsiTheme="minorHAnsi" w:cstheme="majorBidi"/>
        </w:rPr>
        <w:t>- El-Ahdab, “Saudi Arabia Accedes to the New York Convention”, (1994) 11 Journal of International Arbitration 87 at 91.</w:t>
      </w:r>
    </w:p>
  </w:footnote>
  <w:footnote w:id="233">
    <w:p w:rsidR="00581BA0" w:rsidRPr="0003261B" w:rsidRDefault="00581BA0" w:rsidP="0003261B">
      <w:pPr>
        <w:pStyle w:val="FootnoteText"/>
        <w:jc w:val="left"/>
        <w:rPr>
          <w:rFonts w:asciiTheme="minorHAnsi" w:hAnsiTheme="minorHAnsi"/>
          <w:lang w:bidi="fa-IR"/>
        </w:rPr>
      </w:pPr>
      <w:r w:rsidRPr="0003261B">
        <w:rPr>
          <w:rStyle w:val="FootnoteReference"/>
          <w:rFonts w:asciiTheme="minorHAnsi" w:hAnsiTheme="minorHAnsi" w:cstheme="majorBidi"/>
        </w:rPr>
        <w:footnoteRef/>
      </w:r>
      <w:r w:rsidRPr="0003261B">
        <w:rPr>
          <w:rFonts w:asciiTheme="minorHAnsi" w:hAnsiTheme="minorHAnsi" w:cstheme="majorBidi"/>
        </w:rPr>
        <w:t xml:space="preserve">- </w:t>
      </w:r>
      <w:r w:rsidRPr="0003261B">
        <w:rPr>
          <w:rFonts w:asciiTheme="minorHAnsi" w:hAnsiTheme="minorHAnsi" w:cstheme="majorBidi"/>
          <w:lang w:bidi="fa-IR"/>
        </w:rPr>
        <w:t>OECD (</w:t>
      </w:r>
      <w:r w:rsidRPr="0003261B">
        <w:rPr>
          <w:rFonts w:asciiTheme="minorHAnsi" w:hAnsiTheme="minorHAnsi"/>
          <w:lang w:bidi="fa-IR"/>
        </w:rPr>
        <w:t>The Organisation for Economic Co-operation and Development).</w:t>
      </w:r>
    </w:p>
  </w:footnote>
  <w:footnote w:id="234">
    <w:p w:rsidR="00581BA0" w:rsidRPr="00FF4527" w:rsidRDefault="00581BA0" w:rsidP="0003261B">
      <w:pPr>
        <w:pStyle w:val="FootnoteText"/>
        <w:jc w:val="left"/>
        <w:rPr>
          <w:rFonts w:cstheme="majorBidi"/>
          <w:rtl/>
        </w:rPr>
      </w:pPr>
      <w:r w:rsidRPr="0003261B">
        <w:rPr>
          <w:rStyle w:val="FootnoteReference"/>
          <w:rFonts w:asciiTheme="minorHAnsi" w:hAnsiTheme="minorHAnsi" w:cstheme="majorBidi"/>
        </w:rPr>
        <w:footnoteRef/>
      </w:r>
      <w:r w:rsidRPr="0003261B">
        <w:rPr>
          <w:rFonts w:asciiTheme="minorHAnsi" w:hAnsiTheme="minorHAnsi" w:cstheme="majorBidi"/>
        </w:rPr>
        <w:t>- Rosell and Prager, “Illicit Commissions and</w:t>
      </w:r>
      <w:r w:rsidRPr="0003261B">
        <w:rPr>
          <w:rFonts w:asciiTheme="minorHAnsi" w:hAnsiTheme="minorHAnsi" w:cstheme="majorBidi"/>
          <w:rtl/>
        </w:rPr>
        <w:t xml:space="preserve"> </w:t>
      </w:r>
      <w:r w:rsidRPr="0003261B">
        <w:rPr>
          <w:rFonts w:asciiTheme="minorHAnsi" w:hAnsiTheme="minorHAnsi" w:cstheme="majorBidi"/>
        </w:rPr>
        <w:t>International Arbitration: The Question of Proof”, (1999), 15 Arbitration International 329.</w:t>
      </w:r>
    </w:p>
  </w:footnote>
  <w:footnote w:id="235">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European Gas Turbines SA -v- Westman International Ltd, 30 Sept. 1993, (1994) Rev. Arb. 359, and reported in (1995), XX Yearbook 198.</w:t>
      </w:r>
    </w:p>
  </w:footnote>
  <w:footnote w:id="236">
    <w:p w:rsidR="00581BA0" w:rsidRPr="0003261B" w:rsidRDefault="00581BA0" w:rsidP="0003261B">
      <w:pPr>
        <w:pStyle w:val="FootnoteText"/>
        <w:jc w:val="left"/>
        <w:rPr>
          <w:rFonts w:asciiTheme="minorHAnsi" w:hAnsiTheme="minorHAns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Chitty on Contracts, 28 th edn., Sweet &amp; Maxwell, 1999, chapter 19.</w:t>
      </w:r>
    </w:p>
  </w:footnote>
  <w:footnote w:id="237">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Decision of Judge Lagergren in 1963, reported in (1994), 10 Arbitration International 277.</w:t>
      </w:r>
    </w:p>
  </w:footnote>
  <w:footnote w:id="238">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Northrop Corp. -v- Triad 593 F. Supp. 928 (1984).</w:t>
      </w:r>
    </w:p>
  </w:footnote>
  <w:footnote w:id="239">
    <w:p w:rsidR="00581BA0" w:rsidRPr="004747C8" w:rsidRDefault="00581BA0" w:rsidP="0003261B">
      <w:pPr>
        <w:pStyle w:val="FootnoteText"/>
        <w:jc w:val="left"/>
        <w:rPr>
          <w:rFonts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Westacre Investments Inc. -v- Jugoimport-SDPR Holding Co. Ltd [1999] 2 Lloyd’s Rep. 65 at 74, per Waller LJ.</w:t>
      </w:r>
    </w:p>
  </w:footnote>
  <w:footnote w:id="240">
    <w:p w:rsidR="00581BA0" w:rsidRPr="0003261B" w:rsidRDefault="00581BA0" w:rsidP="0003261B">
      <w:pPr>
        <w:pStyle w:val="FootnoteText"/>
        <w:jc w:val="left"/>
        <w:rPr>
          <w:rFonts w:asciiTheme="minorHAnsi" w:hAnsiTheme="minorHAnsi" w:cstheme="majorBidi"/>
          <w:rtl/>
          <w:lang w:bidi="fa-IR"/>
        </w:rPr>
      </w:pPr>
      <w:r w:rsidRPr="0003261B">
        <w:rPr>
          <w:rStyle w:val="FootnoteReference"/>
          <w:rFonts w:asciiTheme="minorHAnsi" w:hAnsiTheme="minorHAnsi" w:cstheme="majorBidi"/>
        </w:rPr>
        <w:footnoteRef/>
      </w:r>
      <w:r w:rsidRPr="0003261B">
        <w:rPr>
          <w:rFonts w:asciiTheme="minorHAnsi" w:hAnsiTheme="minorHAnsi" w:cstheme="majorBidi"/>
        </w:rPr>
        <w:t>- Parsons &amp; Whittemore Overseas Co., Inc. -v- Société Générale de l’Industrie du Papier RAKTA and Bank of America 508 F. 2d 969 (2nd Cir., 1974).</w:t>
      </w:r>
    </w:p>
  </w:footnote>
  <w:footnote w:id="241">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UN Doc. A/40/17, paras. 297 and 303.</w:t>
      </w:r>
    </w:p>
  </w:footnote>
  <w:footnote w:id="242">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International Arbitration Act 1974, s.19(a). See Pryles, “Australia”, Handbook, Suppl. 13, Sept. 1992, p.27.</w:t>
      </w:r>
    </w:p>
  </w:footnote>
  <w:footnote w:id="243">
    <w:p w:rsidR="00581BA0" w:rsidRPr="0054241E" w:rsidRDefault="00581BA0" w:rsidP="0054241E">
      <w:pPr>
        <w:pStyle w:val="FootnoteText"/>
        <w:jc w:val="left"/>
        <w:rPr>
          <w:rFonts w:asciiTheme="minorHAnsi" w:hAnsiTheme="minorHAnsi" w:cstheme="majorBidi"/>
        </w:rPr>
      </w:pPr>
      <w:r w:rsidRPr="0054241E">
        <w:rPr>
          <w:rStyle w:val="FootnoteReference"/>
          <w:rFonts w:asciiTheme="minorHAnsi" w:hAnsiTheme="minorHAnsi" w:cstheme="majorBidi"/>
        </w:rPr>
        <w:footnoteRef/>
      </w:r>
      <w:r w:rsidRPr="0054241E">
        <w:rPr>
          <w:rFonts w:asciiTheme="minorHAnsi" w:hAnsiTheme="minorHAnsi" w:cstheme="majorBidi"/>
        </w:rPr>
        <w:t>- Arbitration Act 1996, article 36. See Kennedy-Grant, “New Zealand”, Handbook, Suppl. 25, Jan. 1998, p. 27.</w:t>
      </w:r>
    </w:p>
  </w:footnote>
  <w:footnote w:id="244">
    <w:p w:rsidR="00581BA0" w:rsidRPr="0054241E" w:rsidRDefault="00581BA0" w:rsidP="0054241E">
      <w:pPr>
        <w:pStyle w:val="FootnoteText"/>
        <w:jc w:val="left"/>
        <w:rPr>
          <w:rFonts w:asciiTheme="minorHAnsi" w:hAnsiTheme="minorHAnsi" w:cstheme="majorBidi"/>
        </w:rPr>
      </w:pPr>
      <w:r w:rsidRPr="0054241E">
        <w:rPr>
          <w:rStyle w:val="FootnoteReference"/>
          <w:rFonts w:asciiTheme="minorHAnsi" w:hAnsiTheme="minorHAnsi" w:cstheme="majorBidi"/>
        </w:rPr>
        <w:footnoteRef/>
      </w:r>
      <w:r w:rsidRPr="0054241E">
        <w:rPr>
          <w:rFonts w:asciiTheme="minorHAnsi" w:hAnsiTheme="minorHAnsi" w:cstheme="majorBidi"/>
        </w:rPr>
        <w:t>- Arbitration and Conciliation Act 1996, article 48(2).</w:t>
      </w:r>
    </w:p>
  </w:footnote>
  <w:footnote w:id="245">
    <w:p w:rsidR="00581BA0" w:rsidRDefault="00581BA0" w:rsidP="0054241E">
      <w:pPr>
        <w:pStyle w:val="FootnoteText"/>
        <w:jc w:val="left"/>
        <w:rPr>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Zimbabwe Arbitration Act 1996, section 36(3). See “Zimbabwe”, Handbook, Suppl. 24, Oct. 1997, Annex I.</w:t>
      </w:r>
    </w:p>
  </w:footnote>
  <w:footnote w:id="246">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International Law Association, “Interim Report on Public Policy As a Bar to Enforcement of International Arbitral Awards”, London Conference (2000), p. 25.</w:t>
      </w:r>
    </w:p>
  </w:footnote>
  <w:footnote w:id="247">
    <w:p w:rsidR="00581BA0" w:rsidRPr="0054241E" w:rsidRDefault="00581BA0" w:rsidP="0054241E">
      <w:pPr>
        <w:pStyle w:val="FootnoteText"/>
        <w:jc w:val="left"/>
        <w:rPr>
          <w:rFonts w:asciiTheme="minorHAnsi" w:hAnsiTheme="minorHAnsi"/>
          <w:lang w:bidi="fa-IR"/>
        </w:rPr>
      </w:pPr>
      <w:r w:rsidRPr="0054241E">
        <w:rPr>
          <w:rStyle w:val="FootnoteReference"/>
          <w:rFonts w:asciiTheme="minorHAnsi" w:hAnsiTheme="minorHAnsi" w:cstheme="majorBidi"/>
        </w:rPr>
        <w:footnoteRef/>
      </w:r>
      <w:r w:rsidRPr="0054241E">
        <w:rPr>
          <w:rFonts w:asciiTheme="minorHAnsi" w:hAnsiTheme="minorHAnsi" w:cstheme="majorBidi"/>
        </w:rPr>
        <w:t>- van den Berg, The New York Convention of 1958 (Kluwer, 1981), p.296.</w:t>
      </w:r>
    </w:p>
  </w:footnote>
  <w:footnote w:id="248">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International Arbitration Act 1974, s.19(a). See Pryles, “Australia”, Handbook, Suppl. 13, Sept. 1992, p.27.</w:t>
      </w:r>
    </w:p>
  </w:footnote>
  <w:footnote w:id="249">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Arbitration Act 1996, article 36. See Kennedy-Grant, “New Zealand”, Handbook, Suppl. 25, Jan. 1998, p. 27.</w:t>
      </w:r>
    </w:p>
  </w:footnote>
  <w:footnote w:id="250">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Zimbabwe Arbitration Act 1996, section 36(3). See “Zimbabwe”, Handbook, Suppl. 24, Oct. 1997, Annex I.</w:t>
      </w:r>
    </w:p>
  </w:footnote>
  <w:footnote w:id="251">
    <w:p w:rsidR="00581BA0" w:rsidRPr="0054241E" w:rsidRDefault="00581BA0" w:rsidP="0054241E">
      <w:pPr>
        <w:pStyle w:val="FootnoteText"/>
        <w:jc w:val="left"/>
        <w:rPr>
          <w:rFonts w:asciiTheme="minorHAnsi" w:hAnsiTheme="minorHAnsi" w:cstheme="majorBidi"/>
          <w:rtl/>
          <w:lang w:bidi="fa-IR"/>
        </w:rPr>
      </w:pPr>
      <w:r w:rsidRPr="0054241E">
        <w:rPr>
          <w:rStyle w:val="FootnoteReference"/>
          <w:rFonts w:asciiTheme="minorHAnsi" w:hAnsiTheme="minorHAnsi" w:cstheme="majorBidi"/>
        </w:rPr>
        <w:footnoteRef/>
      </w:r>
      <w:r w:rsidRPr="0054241E">
        <w:rPr>
          <w:rFonts w:asciiTheme="minorHAnsi" w:hAnsiTheme="minorHAnsi" w:cstheme="majorBidi"/>
        </w:rPr>
        <w:t>- Schwebel and Lahne, “Public Policy and Arbitral Procedure” in ICCA Congress Series No. 3, Comparative Arbitration Practice and Public Policy in Arbitration (Kluwer, 1987), p. 205.</w:t>
      </w:r>
    </w:p>
  </w:footnote>
  <w:footnote w:id="252">
    <w:p w:rsidR="00581BA0" w:rsidRPr="004747C8" w:rsidRDefault="00581BA0" w:rsidP="0054241E">
      <w:pPr>
        <w:pStyle w:val="FootnoteText"/>
        <w:jc w:val="left"/>
        <w:rPr>
          <w:rtl/>
        </w:rPr>
      </w:pPr>
      <w:r w:rsidRPr="0054241E">
        <w:rPr>
          <w:rStyle w:val="FootnoteReference"/>
          <w:rFonts w:asciiTheme="minorHAnsi" w:hAnsiTheme="minorHAnsi" w:cstheme="majorBidi"/>
        </w:rPr>
        <w:footnoteRef/>
      </w:r>
      <w:r w:rsidRPr="0054241E">
        <w:rPr>
          <w:rFonts w:asciiTheme="minorHAnsi" w:hAnsiTheme="minorHAnsi" w:cstheme="majorBidi"/>
        </w:rPr>
        <w:t>- Fouchard, Gaillard and Goldman on International Commercial Arbitration (ed. Gaillard and Savage) (Kluwer, 1999), paras. 1638-1644.</w:t>
      </w:r>
    </w:p>
  </w:footnote>
  <w:footnote w:id="253">
    <w:p w:rsidR="00581BA0" w:rsidRPr="00FB673E" w:rsidRDefault="00581BA0" w:rsidP="00FB673E">
      <w:pPr>
        <w:pStyle w:val="FootnoteText"/>
        <w:jc w:val="left"/>
        <w:rPr>
          <w:rFonts w:asciiTheme="minorHAnsi" w:hAnsiTheme="minorHAnsi" w:cstheme="majorBidi"/>
          <w:rtl/>
          <w:lang w:bidi="fa-IR"/>
        </w:rPr>
      </w:pPr>
      <w:r w:rsidRPr="00FB673E">
        <w:rPr>
          <w:rStyle w:val="FootnoteReference"/>
          <w:rFonts w:asciiTheme="minorHAnsi" w:hAnsiTheme="minorHAnsi" w:cstheme="majorBidi"/>
        </w:rPr>
        <w:footnoteRef/>
      </w:r>
      <w:r w:rsidRPr="00FB673E">
        <w:rPr>
          <w:rFonts w:asciiTheme="minorHAnsi" w:hAnsiTheme="minorHAnsi" w:cstheme="majorBidi"/>
        </w:rPr>
        <w:t>- Excelsior Film TV, Srl -v- UGC-PHOA, French Cour de Cassation decision dated 24 March 1998</w:t>
      </w:r>
      <w:r w:rsidRPr="00FB673E">
        <w:rPr>
          <w:rFonts w:asciiTheme="minorHAnsi" w:hAnsiTheme="minorHAnsi" w:cstheme="majorBidi"/>
          <w:rtl/>
        </w:rPr>
        <w:t>.</w:t>
      </w:r>
    </w:p>
  </w:footnote>
  <w:footnote w:id="254">
    <w:p w:rsidR="00581BA0" w:rsidRPr="00FB673E" w:rsidRDefault="00581BA0" w:rsidP="00FB673E">
      <w:pPr>
        <w:pStyle w:val="FootnoteText"/>
        <w:jc w:val="left"/>
        <w:rPr>
          <w:rFonts w:asciiTheme="minorHAnsi" w:hAnsiTheme="minorHAnsi" w:cstheme="majorBidi"/>
          <w:rtl/>
        </w:rPr>
      </w:pPr>
      <w:r w:rsidRPr="00FB673E">
        <w:rPr>
          <w:rStyle w:val="FootnoteReference"/>
          <w:rFonts w:asciiTheme="minorHAnsi" w:hAnsiTheme="minorHAnsi" w:cstheme="majorBidi"/>
        </w:rPr>
        <w:footnoteRef/>
      </w:r>
      <w:r w:rsidRPr="00FB673E">
        <w:rPr>
          <w:rFonts w:asciiTheme="minorHAnsi" w:hAnsiTheme="minorHAnsi" w:cstheme="majorBidi"/>
        </w:rPr>
        <w:t>- Bishop and Reed, “Practical Guidelines for Interviewing, Selecting and Challenging</w:t>
      </w:r>
      <w:r w:rsidRPr="00FB673E">
        <w:rPr>
          <w:rFonts w:asciiTheme="minorHAnsi" w:hAnsiTheme="minorHAnsi" w:cstheme="majorBidi"/>
          <w:rtl/>
          <w:lang w:bidi="fa-IR"/>
        </w:rPr>
        <w:t xml:space="preserve"> </w:t>
      </w:r>
      <w:r w:rsidRPr="00FB673E">
        <w:rPr>
          <w:rFonts w:asciiTheme="minorHAnsi" w:hAnsiTheme="minorHAnsi" w:cstheme="majorBidi"/>
        </w:rPr>
        <w:t>Party-Appointed Arbitrators in International Commercial Arbitration”, (1998) 14 Arbitration</w:t>
      </w:r>
      <w:r w:rsidRPr="00FB673E">
        <w:rPr>
          <w:rFonts w:asciiTheme="minorHAnsi" w:hAnsiTheme="minorHAnsi" w:cstheme="majorBidi"/>
          <w:rtl/>
          <w:lang w:bidi="fa-IR"/>
        </w:rPr>
        <w:t xml:space="preserve"> </w:t>
      </w:r>
      <w:r w:rsidRPr="00FB673E">
        <w:rPr>
          <w:rFonts w:asciiTheme="minorHAnsi" w:hAnsiTheme="minorHAnsi" w:cstheme="majorBidi"/>
        </w:rPr>
        <w:t>International 395.</w:t>
      </w:r>
    </w:p>
  </w:footnote>
  <w:footnote w:id="255">
    <w:p w:rsidR="00581BA0" w:rsidRPr="00FB673E" w:rsidRDefault="00581BA0" w:rsidP="00FB673E">
      <w:pPr>
        <w:pStyle w:val="FootnoteText"/>
        <w:jc w:val="left"/>
        <w:rPr>
          <w:rFonts w:asciiTheme="minorHAnsi" w:hAnsiTheme="minorHAnsi" w:cstheme="majorBidi"/>
          <w:rtl/>
        </w:rPr>
      </w:pPr>
      <w:r w:rsidRPr="00FB673E">
        <w:rPr>
          <w:rStyle w:val="FootnoteReference"/>
          <w:rFonts w:asciiTheme="minorHAnsi" w:hAnsiTheme="minorHAnsi" w:cstheme="majorBidi"/>
        </w:rPr>
        <w:footnoteRef/>
      </w:r>
      <w:r w:rsidRPr="00FB673E">
        <w:rPr>
          <w:rFonts w:asciiTheme="minorHAnsi" w:hAnsiTheme="minorHAnsi" w:cstheme="majorBidi"/>
        </w:rPr>
        <w:t>- Philippines - Oil and Natural Gas Commission -v- Court of Appeals (1998), 293 SCRA.</w:t>
      </w:r>
    </w:p>
  </w:footnote>
  <w:footnote w:id="256">
    <w:p w:rsidR="00581BA0" w:rsidRPr="002E6DCF" w:rsidRDefault="00581BA0" w:rsidP="00FB673E">
      <w:pPr>
        <w:pStyle w:val="FootnoteText"/>
        <w:jc w:val="left"/>
        <w:rPr>
          <w:i/>
          <w:iCs/>
        </w:rPr>
      </w:pPr>
      <w:r w:rsidRPr="00FB673E">
        <w:rPr>
          <w:rStyle w:val="FootnoteReference"/>
          <w:rFonts w:asciiTheme="minorHAnsi" w:hAnsiTheme="minorHAnsi"/>
        </w:rPr>
        <w:footnoteRef/>
      </w:r>
      <w:r w:rsidRPr="00FB673E">
        <w:rPr>
          <w:rFonts w:asciiTheme="minorHAnsi" w:hAnsiTheme="minorHAnsi"/>
        </w:rPr>
        <w:t xml:space="preserve">- Germany - BGH NJW 1992, 2300; Canada - </w:t>
      </w:r>
      <w:r w:rsidRPr="00FB673E">
        <w:rPr>
          <w:rFonts w:asciiTheme="minorHAnsi" w:hAnsiTheme="minorHAnsi"/>
          <w:i/>
          <w:iCs/>
        </w:rPr>
        <w:t xml:space="preserve">Schreter –vGasmac Inc. </w:t>
      </w:r>
      <w:r w:rsidRPr="00FB673E">
        <w:rPr>
          <w:rFonts w:asciiTheme="minorHAnsi" w:hAnsiTheme="minorHAnsi"/>
        </w:rPr>
        <w:t>(1992).</w:t>
      </w:r>
    </w:p>
  </w:footnote>
  <w:footnote w:id="257">
    <w:p w:rsidR="00581BA0" w:rsidRPr="00FB673E" w:rsidRDefault="00581BA0" w:rsidP="00FB673E">
      <w:pPr>
        <w:pStyle w:val="FootnoteText"/>
        <w:jc w:val="left"/>
        <w:rPr>
          <w:rFonts w:asciiTheme="minorHAnsi" w:hAnsiTheme="minorHAnsi" w:cstheme="majorBidi"/>
        </w:rPr>
      </w:pPr>
      <w:r w:rsidRPr="00FB673E">
        <w:rPr>
          <w:rStyle w:val="FootnoteReference"/>
          <w:rFonts w:asciiTheme="minorHAnsi" w:hAnsiTheme="minorHAnsi" w:cstheme="majorBidi"/>
        </w:rPr>
        <w:footnoteRef/>
      </w:r>
      <w:r w:rsidRPr="00FB673E">
        <w:rPr>
          <w:rFonts w:asciiTheme="minorHAnsi" w:hAnsiTheme="minorHAnsi" w:cstheme="majorBidi"/>
        </w:rPr>
        <w:t xml:space="preserve">- Supreme Court decisions:ATF 115 II 105; ATF 115 II 291; ATF 116 II 634 </w:t>
      </w:r>
    </w:p>
  </w:footnote>
  <w:footnote w:id="258">
    <w:p w:rsidR="00581BA0" w:rsidRPr="00FB673E" w:rsidRDefault="00581BA0" w:rsidP="00FB673E">
      <w:pPr>
        <w:pStyle w:val="FootnoteText"/>
        <w:jc w:val="left"/>
        <w:rPr>
          <w:rFonts w:asciiTheme="minorHAnsi" w:hAnsiTheme="minorHAnsi" w:cstheme="majorBidi"/>
        </w:rPr>
      </w:pPr>
      <w:r w:rsidRPr="00FB673E">
        <w:rPr>
          <w:rStyle w:val="FootnoteReference"/>
          <w:rFonts w:asciiTheme="minorHAnsi" w:hAnsiTheme="minorHAnsi" w:cstheme="majorBidi"/>
        </w:rPr>
        <w:footnoteRef/>
      </w:r>
      <w:r w:rsidRPr="00FB673E">
        <w:rPr>
          <w:rFonts w:asciiTheme="minorHAnsi" w:hAnsiTheme="minorHAnsi" w:cstheme="majorBidi"/>
        </w:rPr>
        <w:t>- Andre -v- Multitrade, Cass. 1e civ., 23 Feb. 1994 (CA), (1994) Rev. Arb. 83.</w:t>
      </w:r>
    </w:p>
  </w:footnote>
  <w:footnote w:id="259">
    <w:p w:rsidR="00581BA0" w:rsidRPr="00FB673E" w:rsidRDefault="00581BA0" w:rsidP="00FB673E">
      <w:pPr>
        <w:pStyle w:val="FootnoteText"/>
        <w:jc w:val="left"/>
        <w:rPr>
          <w:rFonts w:asciiTheme="minorHAnsi" w:hAnsiTheme="minorHAnsi" w:cstheme="majorBidi"/>
        </w:rPr>
      </w:pPr>
      <w:r w:rsidRPr="00FB673E">
        <w:rPr>
          <w:rStyle w:val="FootnoteReference"/>
          <w:rFonts w:asciiTheme="minorHAnsi" w:hAnsiTheme="minorHAnsi" w:cstheme="majorBidi"/>
        </w:rPr>
        <w:footnoteRef/>
      </w:r>
      <w:r w:rsidRPr="00FB673E">
        <w:rPr>
          <w:rFonts w:asciiTheme="minorHAnsi" w:hAnsiTheme="minorHAnsi" w:cstheme="majorBidi"/>
        </w:rPr>
        <w:t>- Adams -v- Cape Industries plc [1990] Ch. 433 at 569 (CA).</w:t>
      </w:r>
    </w:p>
  </w:footnote>
  <w:footnote w:id="260">
    <w:p w:rsidR="00581BA0" w:rsidRPr="00FB673E" w:rsidRDefault="00581BA0" w:rsidP="00FB673E">
      <w:pPr>
        <w:pStyle w:val="FootnoteText"/>
        <w:jc w:val="left"/>
        <w:rPr>
          <w:rFonts w:asciiTheme="minorHAnsi" w:hAnsiTheme="minorHAnsi" w:cstheme="majorBidi"/>
        </w:rPr>
      </w:pPr>
      <w:r w:rsidRPr="00FB673E">
        <w:rPr>
          <w:rStyle w:val="FootnoteReference"/>
          <w:rFonts w:asciiTheme="minorHAnsi" w:hAnsiTheme="minorHAnsi" w:cstheme="majorBidi"/>
        </w:rPr>
        <w:footnoteRef/>
      </w:r>
      <w:r w:rsidRPr="00FB673E">
        <w:rPr>
          <w:rFonts w:asciiTheme="minorHAnsi" w:hAnsiTheme="minorHAnsi" w:cstheme="majorBidi"/>
        </w:rPr>
        <w:t>- BGH NJW 1990, 3210.</w:t>
      </w:r>
    </w:p>
  </w:footnote>
  <w:footnote w:id="261">
    <w:p w:rsidR="00581BA0" w:rsidRPr="00FB673E" w:rsidRDefault="00581BA0" w:rsidP="00FB673E">
      <w:pPr>
        <w:pStyle w:val="FootnoteText"/>
        <w:jc w:val="left"/>
        <w:rPr>
          <w:rFonts w:asciiTheme="minorHAnsi" w:hAnsiTheme="minorHAnsi" w:cstheme="majorBidi"/>
        </w:rPr>
      </w:pPr>
      <w:r w:rsidRPr="00FB673E">
        <w:rPr>
          <w:rStyle w:val="FootnoteReference"/>
          <w:rFonts w:asciiTheme="minorHAnsi" w:hAnsiTheme="minorHAnsi" w:cstheme="majorBidi"/>
        </w:rPr>
        <w:footnoteRef/>
      </w:r>
      <w:r w:rsidRPr="00FB673E">
        <w:rPr>
          <w:rFonts w:asciiTheme="minorHAnsi" w:hAnsiTheme="minorHAnsi" w:cstheme="majorBidi"/>
        </w:rPr>
        <w:t>- Supreme Court decisions: Asset Privitization Trust -v- Court of Appeals, GR No. 121171, 29 December 1998.</w:t>
      </w:r>
    </w:p>
  </w:footnote>
  <w:footnote w:id="262">
    <w:p w:rsidR="00581BA0" w:rsidRPr="00FB673E" w:rsidRDefault="00581BA0" w:rsidP="00FB673E">
      <w:pPr>
        <w:pStyle w:val="FootnoteText"/>
        <w:jc w:val="left"/>
        <w:rPr>
          <w:rFonts w:asciiTheme="minorHAnsi" w:hAnsiTheme="minorHAnsi" w:cstheme="majorBidi"/>
          <w:lang w:bidi="fa-IR"/>
        </w:rPr>
      </w:pPr>
      <w:r w:rsidRPr="00FB673E">
        <w:rPr>
          <w:rStyle w:val="FootnoteReference"/>
          <w:rFonts w:asciiTheme="minorHAnsi" w:hAnsiTheme="minorHAnsi" w:cstheme="majorBidi"/>
        </w:rPr>
        <w:footnoteRef/>
      </w:r>
      <w:r w:rsidRPr="00FB673E">
        <w:rPr>
          <w:rFonts w:asciiTheme="minorHAnsi" w:hAnsiTheme="minorHAnsi" w:cstheme="majorBidi"/>
        </w:rPr>
        <w:t xml:space="preserve">- </w:t>
      </w:r>
      <w:r w:rsidRPr="00FB673E">
        <w:rPr>
          <w:rFonts w:asciiTheme="minorHAnsi" w:hAnsiTheme="minorHAnsi" w:cstheme="majorBidi"/>
          <w:lang w:bidi="fa-IR"/>
        </w:rPr>
        <w:t>International Lex Mercatoria</w:t>
      </w:r>
    </w:p>
  </w:footnote>
  <w:footnote w:id="263">
    <w:p w:rsidR="00581BA0" w:rsidRPr="00FB673E" w:rsidRDefault="00581BA0" w:rsidP="00FB673E">
      <w:pPr>
        <w:pStyle w:val="FootnoteText"/>
        <w:jc w:val="left"/>
        <w:rPr>
          <w:rFonts w:asciiTheme="minorHAnsi" w:hAnsiTheme="minorHAnsi" w:cstheme="majorBidi"/>
        </w:rPr>
      </w:pPr>
      <w:r w:rsidRPr="00FB673E">
        <w:rPr>
          <w:rStyle w:val="FootnoteReference"/>
          <w:rFonts w:asciiTheme="minorHAnsi" w:hAnsiTheme="minorHAnsi" w:cstheme="majorBidi"/>
        </w:rPr>
        <w:footnoteRef/>
      </w:r>
      <w:r w:rsidRPr="00FB673E">
        <w:rPr>
          <w:rFonts w:asciiTheme="minorHAnsi" w:hAnsiTheme="minorHAnsi" w:cstheme="majorBidi"/>
        </w:rPr>
        <w:t>- Norsolor SA -v- Pabalk Ticaret Ltd, (1984) IX Yearbook 159.</w:t>
      </w:r>
    </w:p>
  </w:footnote>
  <w:footnote w:id="264">
    <w:p w:rsidR="00581BA0" w:rsidRPr="00FB673E" w:rsidRDefault="00581BA0" w:rsidP="00FB673E">
      <w:pPr>
        <w:pStyle w:val="FootnoteText"/>
        <w:jc w:val="left"/>
        <w:rPr>
          <w:rFonts w:asciiTheme="minorHAnsi" w:hAnsiTheme="minorHAnsi" w:cstheme="majorBidi"/>
          <w:rtl/>
        </w:rPr>
      </w:pPr>
      <w:r w:rsidRPr="00FB673E">
        <w:rPr>
          <w:rStyle w:val="FootnoteReference"/>
          <w:rFonts w:asciiTheme="minorHAnsi" w:hAnsiTheme="minorHAnsi" w:cstheme="majorBidi"/>
        </w:rPr>
        <w:footnoteRef/>
      </w:r>
      <w:r w:rsidRPr="00FB673E">
        <w:rPr>
          <w:rFonts w:asciiTheme="minorHAnsi" w:hAnsiTheme="minorHAnsi" w:cstheme="majorBidi"/>
        </w:rPr>
        <w:t>- Compania Valenciana de Cementos Portland -v- Primary Coal Inc., Cass. 1e civ., 22 Oct. 1991,</w:t>
      </w:r>
      <w:r w:rsidRPr="00FB673E">
        <w:rPr>
          <w:rFonts w:asciiTheme="minorHAnsi" w:hAnsiTheme="minorHAnsi" w:cstheme="majorBidi"/>
          <w:rtl/>
          <w:lang w:bidi="fa-IR"/>
        </w:rPr>
        <w:t xml:space="preserve"> </w:t>
      </w:r>
      <w:r w:rsidRPr="00FB673E">
        <w:rPr>
          <w:rFonts w:asciiTheme="minorHAnsi" w:hAnsiTheme="minorHAnsi" w:cstheme="majorBidi"/>
        </w:rPr>
        <w:t>(1992) Rev. Arb. 457.</w:t>
      </w:r>
    </w:p>
  </w:footnote>
  <w:footnote w:id="265">
    <w:p w:rsidR="00581BA0" w:rsidRPr="004747C8" w:rsidRDefault="00581BA0" w:rsidP="00FB673E">
      <w:pPr>
        <w:pStyle w:val="FootnoteText"/>
        <w:jc w:val="left"/>
        <w:rPr>
          <w:rFonts w:cstheme="majorBidi"/>
          <w:lang w:bidi="fa-IR"/>
        </w:rPr>
      </w:pPr>
      <w:r w:rsidRPr="00FB673E">
        <w:rPr>
          <w:rStyle w:val="FootnoteReference"/>
          <w:rFonts w:asciiTheme="minorHAnsi" w:hAnsiTheme="minorHAnsi" w:cstheme="majorBidi"/>
        </w:rPr>
        <w:footnoteRef/>
      </w:r>
      <w:r w:rsidRPr="00FB673E">
        <w:rPr>
          <w:rFonts w:asciiTheme="minorHAnsi" w:hAnsiTheme="minorHAnsi" w:cstheme="majorBidi"/>
        </w:rPr>
        <w:t>- D.S.T. -v- Rakoil</w:t>
      </w:r>
      <w:r w:rsidRPr="00FB673E">
        <w:rPr>
          <w:rFonts w:asciiTheme="minorHAnsi" w:hAnsiTheme="minorHAnsi" w:cstheme="majorBidi"/>
          <w:lang w:bidi="fa-IR"/>
        </w:rPr>
        <w:t xml:space="preserve"> [1987] 2 Lloyd’s Rep. 246.</w:t>
      </w:r>
    </w:p>
  </w:footnote>
  <w:footnote w:id="266">
    <w:p w:rsidR="00581BA0" w:rsidRPr="00FB673E" w:rsidRDefault="00581BA0" w:rsidP="00FB673E">
      <w:pPr>
        <w:pStyle w:val="FootnoteText"/>
        <w:jc w:val="left"/>
        <w:rPr>
          <w:rFonts w:asciiTheme="minorHAnsi" w:hAnsiTheme="minorHAnsi"/>
        </w:rPr>
      </w:pPr>
      <w:r w:rsidRPr="00FB673E">
        <w:rPr>
          <w:rStyle w:val="FootnoteReference"/>
          <w:rFonts w:asciiTheme="minorHAnsi" w:hAnsiTheme="minorHAnsi" w:cstheme="majorBidi"/>
        </w:rPr>
        <w:footnoteRef/>
      </w:r>
      <w:r>
        <w:rPr>
          <w:rFonts w:asciiTheme="minorHAnsi" w:hAnsiTheme="minorHAnsi" w:cstheme="majorBidi"/>
        </w:rPr>
        <w:t>-</w:t>
      </w:r>
      <w:r w:rsidRPr="00FB673E">
        <w:rPr>
          <w:rFonts w:asciiTheme="minorHAnsi" w:hAnsiTheme="minorHAnsi" w:cstheme="majorBidi"/>
        </w:rPr>
        <w:t xml:space="preserve"> M&amp;C Corp. -v- Erwin Behr GmbH &amp; Co. KG 87 F 3d 844 (6</w:t>
      </w:r>
      <w:r w:rsidRPr="00FB673E">
        <w:rPr>
          <w:rFonts w:asciiTheme="minorHAnsi" w:hAnsiTheme="minorHAnsi" w:cstheme="majorBidi"/>
          <w:vertAlign w:val="superscript"/>
        </w:rPr>
        <w:t>th</w:t>
      </w:r>
      <w:r w:rsidRPr="00FB673E">
        <w:rPr>
          <w:rFonts w:asciiTheme="minorHAnsi" w:hAnsiTheme="minorHAnsi" w:cstheme="majorBidi"/>
          <w:rtl/>
          <w:lang w:bidi="fa-IR"/>
        </w:rPr>
        <w:t xml:space="preserve"> </w:t>
      </w:r>
      <w:r w:rsidRPr="00FB673E">
        <w:rPr>
          <w:rFonts w:asciiTheme="minorHAnsi" w:hAnsiTheme="minorHAnsi" w:cstheme="majorBidi"/>
        </w:rPr>
        <w:t>Cir., 1996); International Standard Electric Corp. -v- Bridas Sociedad Anonima Petrolera, Industrial Y Commercial 745 F Supp. 172 (SDNY, 1990); and Brandies Instel Ltd -v- Calabrian Chemicals Corp. 656 F Supp. 160 (SDNY, 1987).</w:t>
      </w:r>
    </w:p>
  </w:footnote>
  <w:footnote w:id="267">
    <w:p w:rsidR="00581BA0" w:rsidRPr="00FB673E" w:rsidRDefault="00581BA0" w:rsidP="00FB673E">
      <w:pPr>
        <w:pStyle w:val="FootnoteText"/>
        <w:jc w:val="left"/>
        <w:rPr>
          <w:rFonts w:asciiTheme="minorHAnsi" w:hAnsiTheme="minorHAnsi" w:cstheme="majorBidi"/>
          <w:rtl/>
          <w:lang w:bidi="fa-IR"/>
        </w:rPr>
      </w:pPr>
      <w:r w:rsidRPr="00FB673E">
        <w:rPr>
          <w:rStyle w:val="FootnoteReference"/>
          <w:rFonts w:asciiTheme="minorHAnsi" w:hAnsiTheme="minorHAnsi" w:cstheme="majorBidi"/>
        </w:rPr>
        <w:footnoteRef/>
      </w:r>
      <w:r w:rsidRPr="00FB673E">
        <w:rPr>
          <w:rFonts w:asciiTheme="minorHAnsi" w:hAnsiTheme="minorHAnsi" w:cstheme="majorBidi"/>
        </w:rPr>
        <w:t>- Zimbabwe Electricity Supply Authority -v- Maposa, decision dated 21 December 1999, judgment</w:t>
      </w:r>
      <w:r w:rsidRPr="00FB673E">
        <w:rPr>
          <w:rFonts w:asciiTheme="minorHAnsi" w:hAnsiTheme="minorHAnsi" w:cstheme="majorBidi"/>
          <w:lang w:bidi="fa-IR"/>
        </w:rPr>
        <w:t xml:space="preserve"> </w:t>
      </w:r>
      <w:r w:rsidRPr="00FB673E">
        <w:rPr>
          <w:rFonts w:asciiTheme="minorHAnsi" w:hAnsiTheme="minorHAnsi" w:cstheme="majorBidi"/>
        </w:rPr>
        <w:t>no. 114/99.</w:t>
      </w:r>
    </w:p>
  </w:footnote>
  <w:footnote w:id="268">
    <w:p w:rsidR="00581BA0" w:rsidRPr="00FB673E" w:rsidRDefault="00581BA0" w:rsidP="00FB673E">
      <w:pPr>
        <w:pStyle w:val="FootnoteText"/>
        <w:jc w:val="left"/>
        <w:rPr>
          <w:rFonts w:asciiTheme="minorHAnsi" w:hAnsiTheme="minorHAnsi" w:cstheme="majorBidi"/>
          <w:rtl/>
        </w:rPr>
      </w:pPr>
      <w:r w:rsidRPr="00FB673E">
        <w:rPr>
          <w:rStyle w:val="FootnoteReference"/>
          <w:rFonts w:asciiTheme="minorHAnsi" w:hAnsiTheme="minorHAnsi" w:cstheme="majorBidi"/>
        </w:rPr>
        <w:footnoteRef/>
      </w:r>
      <w:r w:rsidRPr="00FB673E">
        <w:rPr>
          <w:rFonts w:asciiTheme="minorHAnsi" w:hAnsiTheme="minorHAnsi" w:cstheme="majorBidi"/>
        </w:rPr>
        <w:t>- ElAhdab, “The New Egyptian Arbitration Act in Civil and Commercial Matters”, (1995) 12 Journal of International Arbitration 65 at 91/93.</w:t>
      </w:r>
    </w:p>
  </w:footnote>
  <w:footnote w:id="269">
    <w:p w:rsidR="00581BA0" w:rsidRPr="00507417" w:rsidRDefault="00581BA0" w:rsidP="00FB673E">
      <w:pPr>
        <w:pStyle w:val="FootnoteText"/>
        <w:jc w:val="left"/>
        <w:rPr>
          <w:rFonts w:cstheme="majorBidi"/>
          <w:rtl/>
        </w:rPr>
      </w:pPr>
      <w:r w:rsidRPr="00FB673E">
        <w:rPr>
          <w:rStyle w:val="FootnoteReference"/>
          <w:rFonts w:asciiTheme="minorHAnsi" w:hAnsiTheme="minorHAnsi" w:cstheme="majorBidi"/>
        </w:rPr>
        <w:footnoteRef/>
      </w:r>
      <w:r w:rsidRPr="00FB673E">
        <w:rPr>
          <w:rFonts w:asciiTheme="minorHAnsi" w:hAnsiTheme="minorHAnsi" w:cstheme="majorBidi"/>
        </w:rPr>
        <w:t>- Vervaeke -v- Smith [1983] 1 AC 145; and E.D. &amp; F. Man (Sugar) Ltd -v- Haryanto (No. 2) [1991] 1 Lloyd’s Rep. 429.</w:t>
      </w:r>
    </w:p>
  </w:footnote>
  <w:footnote w:id="270">
    <w:p w:rsidR="00581BA0" w:rsidRPr="009B6E7F" w:rsidRDefault="00581BA0" w:rsidP="009B6E7F">
      <w:pPr>
        <w:pStyle w:val="FootnoteText"/>
        <w:tabs>
          <w:tab w:val="left" w:pos="7920"/>
        </w:tabs>
        <w:jc w:val="left"/>
        <w:rPr>
          <w:rFonts w:asciiTheme="minorHAnsi" w:hAnsiTheme="minorHAnsi"/>
          <w:rtl/>
        </w:rPr>
      </w:pPr>
      <w:r w:rsidRPr="009B6E7F">
        <w:rPr>
          <w:rStyle w:val="FootnoteReference"/>
          <w:rFonts w:asciiTheme="minorHAnsi" w:hAnsiTheme="minorHAnsi" w:cstheme="majorBidi"/>
        </w:rPr>
        <w:footnoteRef/>
      </w:r>
      <w:r w:rsidRPr="009B6E7F">
        <w:rPr>
          <w:rFonts w:asciiTheme="minorHAnsi" w:hAnsiTheme="minorHAnsi" w:cstheme="majorBidi"/>
        </w:rPr>
        <w:t>- The Arab Republic of Egypt -v- Chromalloy Aeroservices Inc.decision dated 14 January 1997; reported in (1997) XXII Yearbook 691.</w:t>
      </w:r>
    </w:p>
  </w:footnote>
  <w:footnote w:id="271">
    <w:p w:rsidR="00581BA0" w:rsidRPr="009B6E7F" w:rsidRDefault="00581BA0" w:rsidP="009B6E7F">
      <w:pPr>
        <w:pStyle w:val="FootnoteText"/>
        <w:jc w:val="left"/>
        <w:rPr>
          <w:rFonts w:asciiTheme="minorHAnsi" w:hAnsiTheme="minorHAnsi" w:cstheme="majorBidi"/>
          <w:rtl/>
          <w:lang w:bidi="fa-IR"/>
        </w:rPr>
      </w:pPr>
      <w:r w:rsidRPr="009B6E7F">
        <w:rPr>
          <w:rStyle w:val="FootnoteReference"/>
          <w:rFonts w:asciiTheme="minorHAnsi" w:hAnsiTheme="minorHAnsi" w:cstheme="majorBidi"/>
        </w:rPr>
        <w:footnoteRef/>
      </w:r>
      <w:r w:rsidRPr="009B6E7F">
        <w:rPr>
          <w:rFonts w:asciiTheme="minorHAnsi" w:hAnsiTheme="minorHAnsi" w:cstheme="majorBidi"/>
        </w:rPr>
        <w:t>- See Andrew M. Campbell, Annotation, Refusal to Enforce Foreign Arbitration Awards on Public Policy Grounds, 144 A.L.R. F ED. 481 (2005).</w:t>
      </w:r>
    </w:p>
  </w:footnote>
  <w:footnote w:id="272">
    <w:p w:rsidR="00581BA0" w:rsidRPr="009B6E7F" w:rsidRDefault="00581BA0" w:rsidP="009B6E7F">
      <w:pPr>
        <w:pStyle w:val="FootnoteText"/>
        <w:jc w:val="left"/>
        <w:rPr>
          <w:rFonts w:asciiTheme="minorHAnsi" w:hAnsiTheme="minorHAnsi" w:cstheme="majorBidi"/>
          <w:rtl/>
          <w:lang w:bidi="fa-IR"/>
        </w:rPr>
      </w:pPr>
      <w:r w:rsidRPr="009B6E7F">
        <w:rPr>
          <w:rStyle w:val="FootnoteReference"/>
          <w:rFonts w:asciiTheme="minorHAnsi" w:hAnsiTheme="minorHAnsi" w:cstheme="majorBidi"/>
        </w:rPr>
        <w:footnoteRef/>
      </w:r>
      <w:r w:rsidRPr="009B6E7F">
        <w:rPr>
          <w:rFonts w:asciiTheme="minorHAnsi" w:hAnsiTheme="minorHAnsi" w:cstheme="majorBidi"/>
        </w:rPr>
        <w:t>- Northrop Corp. v. Triad Int’l Mktg. S.A., 811 F.2d 1265-1271 (9th Cir. 1987).</w:t>
      </w:r>
    </w:p>
  </w:footnote>
  <w:footnote w:id="273">
    <w:p w:rsidR="00581BA0" w:rsidRPr="00507417" w:rsidRDefault="00581BA0" w:rsidP="009B6E7F">
      <w:pPr>
        <w:pStyle w:val="FootnoteText"/>
        <w:jc w:val="left"/>
        <w:rPr>
          <w:rFonts w:cstheme="majorBidi"/>
          <w:lang w:bidi="fa-IR"/>
        </w:rPr>
      </w:pPr>
      <w:r w:rsidRPr="009B6E7F">
        <w:rPr>
          <w:rStyle w:val="FootnoteReference"/>
          <w:rFonts w:asciiTheme="minorHAnsi" w:hAnsiTheme="minorHAnsi" w:cstheme="majorBidi"/>
        </w:rPr>
        <w:footnoteRef/>
      </w:r>
      <w:r w:rsidRPr="009B6E7F">
        <w:rPr>
          <w:rFonts w:asciiTheme="minorHAnsi" w:hAnsiTheme="minorHAnsi" w:cstheme="majorBidi"/>
        </w:rPr>
        <w:t xml:space="preserve">- </w:t>
      </w:r>
      <w:r w:rsidRPr="009B6E7F">
        <w:rPr>
          <w:rFonts w:asciiTheme="minorHAnsi" w:hAnsiTheme="minorHAnsi" w:cstheme="majorBidi"/>
          <w:lang w:bidi="fa-IR"/>
        </w:rPr>
        <w:t>The U.S. Court of Appeals for the Ninth Circuit.</w:t>
      </w:r>
    </w:p>
  </w:footnote>
  <w:footnote w:id="274">
    <w:p w:rsidR="00581BA0" w:rsidRPr="004747C8" w:rsidRDefault="00581BA0" w:rsidP="00406D2E">
      <w:pPr>
        <w:pStyle w:val="FootnoteText"/>
        <w:bidi/>
        <w:jc w:val="left"/>
        <w:rPr>
          <w:rtl/>
          <w:lang w:bidi="fa-IR"/>
        </w:rPr>
      </w:pPr>
      <w:r>
        <w:rPr>
          <w:rFonts w:hint="cs"/>
          <w:rtl/>
        </w:rPr>
        <w:t>274</w:t>
      </w:r>
      <w:r w:rsidRPr="004747C8">
        <w:rPr>
          <w:rFonts w:hint="cs"/>
          <w:rtl/>
        </w:rPr>
        <w:t xml:space="preserve">- </w:t>
      </w:r>
      <w:r w:rsidRPr="004747C8">
        <w:rPr>
          <w:rFonts w:hint="cs"/>
          <w:rtl/>
          <w:lang w:bidi="fa-IR"/>
        </w:rPr>
        <w:t>ماده 1511 قانون مدنی کالیفرنیا مقرر می‌دارد: "هنگامی که اعمال قانون مانع از ایفای یک تعهد می‌باشد، ایفای آن معذور است</w:t>
      </w:r>
      <w:r>
        <w:rPr>
          <w:rFonts w:hint="cs"/>
          <w:rtl/>
          <w:lang w:bidi="fa-IR"/>
        </w:rPr>
        <w:t>."</w:t>
      </w:r>
    </w:p>
  </w:footnote>
  <w:footnote w:id="275">
    <w:p w:rsidR="00581BA0" w:rsidRPr="009B6E7F" w:rsidRDefault="00581BA0" w:rsidP="009B6E7F">
      <w:pPr>
        <w:pStyle w:val="FootnoteText"/>
        <w:jc w:val="left"/>
        <w:rPr>
          <w:rFonts w:asciiTheme="minorHAnsi" w:hAnsiTheme="minorHAnsi" w:cstheme="majorBidi"/>
          <w:rtl/>
        </w:rPr>
      </w:pPr>
      <w:r w:rsidRPr="009B6E7F">
        <w:rPr>
          <w:rStyle w:val="FootnoteReference"/>
          <w:rFonts w:asciiTheme="minorHAnsi" w:hAnsiTheme="minorHAnsi" w:cstheme="majorBidi"/>
        </w:rPr>
        <w:footnoteRef/>
      </w:r>
      <w:r w:rsidRPr="009B6E7F">
        <w:rPr>
          <w:rFonts w:asciiTheme="minorHAnsi" w:hAnsiTheme="minorHAnsi" w:cstheme="majorBidi"/>
        </w:rPr>
        <w:t>- Westacre Invs. Inc. v. Jugoimport-SPDR Holding Co. Ltd., [1999] Q.B. 740, 757 (Comm. Ct.) (Eng.), aff’d, [2000] 1 Q.B. 288 (C.A.) (Eng.).</w:t>
      </w:r>
    </w:p>
  </w:footnote>
  <w:footnote w:id="276">
    <w:p w:rsidR="00581BA0" w:rsidRPr="009B6E7F" w:rsidRDefault="00581BA0" w:rsidP="009B6E7F">
      <w:pPr>
        <w:pStyle w:val="FootnoteText"/>
        <w:jc w:val="left"/>
        <w:rPr>
          <w:rFonts w:asciiTheme="minorHAnsi" w:hAnsiTheme="minorHAnsi" w:cstheme="majorBidi"/>
          <w:rtl/>
        </w:rPr>
      </w:pPr>
      <w:r w:rsidRPr="009B6E7F">
        <w:rPr>
          <w:rStyle w:val="FootnoteReference"/>
          <w:rFonts w:asciiTheme="minorHAnsi" w:hAnsiTheme="minorHAnsi" w:cstheme="majorBidi"/>
        </w:rPr>
        <w:footnoteRef/>
      </w:r>
      <w:r w:rsidRPr="009B6E7F">
        <w:rPr>
          <w:rFonts w:asciiTheme="minorHAnsi" w:hAnsiTheme="minorHAnsi" w:cstheme="majorBidi"/>
        </w:rPr>
        <w:t>- Laminoirs-Trefileries-Cableries de Lens, S.A. v. Southwire Co., 484 F. Supp. 1063, 1069 (N.D. Ga. 1980).</w:t>
      </w:r>
    </w:p>
  </w:footnote>
  <w:footnote w:id="277">
    <w:p w:rsidR="00581BA0" w:rsidRPr="00226F0F" w:rsidRDefault="00581BA0" w:rsidP="00226F0F">
      <w:pPr>
        <w:pStyle w:val="FootnoteText"/>
        <w:jc w:val="left"/>
        <w:rPr>
          <w:rFonts w:asciiTheme="minorHAnsi" w:hAnsiTheme="minorHAnsi" w:cstheme="majorBidi"/>
          <w:lang w:bidi="fa-IR"/>
        </w:rPr>
      </w:pPr>
      <w:r w:rsidRPr="00226F0F">
        <w:rPr>
          <w:rStyle w:val="FootnoteReference"/>
          <w:rFonts w:asciiTheme="minorHAnsi" w:hAnsiTheme="minorHAnsi" w:cstheme="majorBidi"/>
        </w:rPr>
        <w:footnoteRef/>
      </w:r>
      <w:r w:rsidRPr="00226F0F">
        <w:rPr>
          <w:rFonts w:asciiTheme="minorHAnsi" w:hAnsiTheme="minorHAnsi" w:cstheme="majorBidi"/>
        </w:rPr>
        <w:t>- Soleimany v. Soleimany, [1999] Q.B. 785, 804 (C.A.) (Eng.).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6D6B"/>
    <w:multiLevelType w:val="hybridMultilevel"/>
    <w:tmpl w:val="6D5AB4EE"/>
    <w:lvl w:ilvl="0" w:tplc="AF9A3246">
      <w:start w:val="1"/>
      <w:numFmt w:val="decimal"/>
      <w:lvlText w:val="%1-"/>
      <w:lvlJc w:val="left"/>
      <w:pPr>
        <w:ind w:left="720" w:hanging="360"/>
      </w:pPr>
      <w:rPr>
        <w:rFonts w:asciiTheme="minorHAnsi" w:hAnsiTheme="minorHAnsi" w:cs="B Lotu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32198"/>
    <w:multiLevelType w:val="hybridMultilevel"/>
    <w:tmpl w:val="FD844C78"/>
    <w:lvl w:ilvl="0" w:tplc="5C78C558">
      <w:start w:val="1"/>
      <w:numFmt w:val="decimal"/>
      <w:lvlText w:val="%1."/>
      <w:lvlJc w:val="left"/>
      <w:pPr>
        <w:ind w:left="360" w:hanging="360"/>
      </w:pPr>
      <w:rPr>
        <w:rFonts w:cs="B Lotu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ED56D8"/>
    <w:multiLevelType w:val="hybridMultilevel"/>
    <w:tmpl w:val="D07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356C1"/>
    <w:multiLevelType w:val="hybridMultilevel"/>
    <w:tmpl w:val="DB4A2606"/>
    <w:lvl w:ilvl="0" w:tplc="AF9A5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33FCD"/>
    <w:multiLevelType w:val="hybridMultilevel"/>
    <w:tmpl w:val="F1BE9874"/>
    <w:lvl w:ilvl="0" w:tplc="D6F64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61C79"/>
    <w:multiLevelType w:val="hybridMultilevel"/>
    <w:tmpl w:val="EA4AABF6"/>
    <w:lvl w:ilvl="0" w:tplc="6ED45178">
      <w:start w:val="94"/>
      <w:numFmt w:val="bullet"/>
      <w:lvlText w:val="-"/>
      <w:lvlJc w:val="left"/>
      <w:pPr>
        <w:ind w:left="720" w:hanging="360"/>
      </w:pPr>
      <w:rPr>
        <w:rFonts w:asciiTheme="majorBidi" w:eastAsia="B Mitra"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A4AEC"/>
    <w:multiLevelType w:val="hybridMultilevel"/>
    <w:tmpl w:val="27E275A4"/>
    <w:lvl w:ilvl="0" w:tplc="FE2469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80677"/>
    <w:multiLevelType w:val="hybridMultilevel"/>
    <w:tmpl w:val="C6484B60"/>
    <w:lvl w:ilvl="0" w:tplc="BA060C8C">
      <w:start w:val="94"/>
      <w:numFmt w:val="bullet"/>
      <w:lvlText w:val="-"/>
      <w:lvlJc w:val="left"/>
      <w:pPr>
        <w:ind w:left="720" w:hanging="360"/>
      </w:pPr>
      <w:rPr>
        <w:rFonts w:asciiTheme="majorBidi" w:eastAsia="B Mitra"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3670D"/>
    <w:multiLevelType w:val="hybridMultilevel"/>
    <w:tmpl w:val="44E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D0552"/>
    <w:multiLevelType w:val="multilevel"/>
    <w:tmpl w:val="86C6F6D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9"/>
  </w:num>
  <w:num w:numId="3">
    <w:abstractNumId w:val="2"/>
  </w:num>
  <w:num w:numId="4">
    <w:abstractNumId w:val="8"/>
  </w:num>
  <w:num w:numId="5">
    <w:abstractNumId w:val="0"/>
  </w:num>
  <w:num w:numId="6">
    <w:abstractNumId w:val="3"/>
  </w:num>
  <w:num w:numId="7">
    <w:abstractNumId w:val="1"/>
  </w:num>
  <w:num w:numId="8">
    <w:abstractNumId w:val="6"/>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412C"/>
    <w:rsid w:val="000129A5"/>
    <w:rsid w:val="000137D6"/>
    <w:rsid w:val="00014755"/>
    <w:rsid w:val="00016610"/>
    <w:rsid w:val="00021023"/>
    <w:rsid w:val="000267AA"/>
    <w:rsid w:val="0003110F"/>
    <w:rsid w:val="0003261B"/>
    <w:rsid w:val="00033961"/>
    <w:rsid w:val="00034C2D"/>
    <w:rsid w:val="000369C2"/>
    <w:rsid w:val="00036B15"/>
    <w:rsid w:val="00036F45"/>
    <w:rsid w:val="00037523"/>
    <w:rsid w:val="000410D5"/>
    <w:rsid w:val="0005418D"/>
    <w:rsid w:val="00054982"/>
    <w:rsid w:val="00063B16"/>
    <w:rsid w:val="00067F64"/>
    <w:rsid w:val="00070050"/>
    <w:rsid w:val="00074B20"/>
    <w:rsid w:val="00076964"/>
    <w:rsid w:val="00081590"/>
    <w:rsid w:val="000856DD"/>
    <w:rsid w:val="00086316"/>
    <w:rsid w:val="00087452"/>
    <w:rsid w:val="00090D55"/>
    <w:rsid w:val="00092DB8"/>
    <w:rsid w:val="00097B13"/>
    <w:rsid w:val="000A1E31"/>
    <w:rsid w:val="000A34A6"/>
    <w:rsid w:val="000A47F6"/>
    <w:rsid w:val="000B16FF"/>
    <w:rsid w:val="000B1E94"/>
    <w:rsid w:val="000B2BBA"/>
    <w:rsid w:val="000B6955"/>
    <w:rsid w:val="000C22A2"/>
    <w:rsid w:val="000D27B9"/>
    <w:rsid w:val="000D2859"/>
    <w:rsid w:val="000E6780"/>
    <w:rsid w:val="000F125D"/>
    <w:rsid w:val="000F4B7F"/>
    <w:rsid w:val="000F753B"/>
    <w:rsid w:val="00100DE7"/>
    <w:rsid w:val="001049B3"/>
    <w:rsid w:val="00106AB0"/>
    <w:rsid w:val="00107210"/>
    <w:rsid w:val="00107CAB"/>
    <w:rsid w:val="00112024"/>
    <w:rsid w:val="00113DF5"/>
    <w:rsid w:val="001143F7"/>
    <w:rsid w:val="00114A4B"/>
    <w:rsid w:val="00116F8F"/>
    <w:rsid w:val="00117104"/>
    <w:rsid w:val="00117407"/>
    <w:rsid w:val="001174EF"/>
    <w:rsid w:val="0012011F"/>
    <w:rsid w:val="0012045F"/>
    <w:rsid w:val="001306DA"/>
    <w:rsid w:val="0013185E"/>
    <w:rsid w:val="001379EB"/>
    <w:rsid w:val="00142678"/>
    <w:rsid w:val="00151867"/>
    <w:rsid w:val="00151941"/>
    <w:rsid w:val="00153D13"/>
    <w:rsid w:val="00154FA4"/>
    <w:rsid w:val="00156BCE"/>
    <w:rsid w:val="00163B5F"/>
    <w:rsid w:val="00164531"/>
    <w:rsid w:val="00165BFF"/>
    <w:rsid w:val="00170CD1"/>
    <w:rsid w:val="001749C5"/>
    <w:rsid w:val="0017778F"/>
    <w:rsid w:val="001859A1"/>
    <w:rsid w:val="001A094C"/>
    <w:rsid w:val="001A1129"/>
    <w:rsid w:val="001A6BD8"/>
    <w:rsid w:val="001A7927"/>
    <w:rsid w:val="001A7A9C"/>
    <w:rsid w:val="001B5C9B"/>
    <w:rsid w:val="001B75EC"/>
    <w:rsid w:val="001C4F41"/>
    <w:rsid w:val="001C7348"/>
    <w:rsid w:val="001C7A8B"/>
    <w:rsid w:val="001E15E5"/>
    <w:rsid w:val="001E7C94"/>
    <w:rsid w:val="001E7E1A"/>
    <w:rsid w:val="001F0DF9"/>
    <w:rsid w:val="001F106E"/>
    <w:rsid w:val="00201317"/>
    <w:rsid w:val="002023A5"/>
    <w:rsid w:val="00211D73"/>
    <w:rsid w:val="00215EC5"/>
    <w:rsid w:val="00226F0F"/>
    <w:rsid w:val="002353E8"/>
    <w:rsid w:val="00235A71"/>
    <w:rsid w:val="0024396D"/>
    <w:rsid w:val="00244E43"/>
    <w:rsid w:val="0024558C"/>
    <w:rsid w:val="0025164B"/>
    <w:rsid w:val="00252308"/>
    <w:rsid w:val="002527C7"/>
    <w:rsid w:val="00253990"/>
    <w:rsid w:val="002559D1"/>
    <w:rsid w:val="0025712D"/>
    <w:rsid w:val="002641AF"/>
    <w:rsid w:val="0027152E"/>
    <w:rsid w:val="002730C8"/>
    <w:rsid w:val="002768CE"/>
    <w:rsid w:val="00276D13"/>
    <w:rsid w:val="00280C9D"/>
    <w:rsid w:val="0029020A"/>
    <w:rsid w:val="002914AE"/>
    <w:rsid w:val="00292251"/>
    <w:rsid w:val="00293E35"/>
    <w:rsid w:val="00296940"/>
    <w:rsid w:val="002A2C8A"/>
    <w:rsid w:val="002A4FAF"/>
    <w:rsid w:val="002A7CAC"/>
    <w:rsid w:val="002B13C9"/>
    <w:rsid w:val="002B1A66"/>
    <w:rsid w:val="002B57EC"/>
    <w:rsid w:val="002C203A"/>
    <w:rsid w:val="002C3D79"/>
    <w:rsid w:val="002C488B"/>
    <w:rsid w:val="002D0EAD"/>
    <w:rsid w:val="002D3284"/>
    <w:rsid w:val="002D4EBB"/>
    <w:rsid w:val="002E1FC4"/>
    <w:rsid w:val="002E2573"/>
    <w:rsid w:val="002E4899"/>
    <w:rsid w:val="002F2C8E"/>
    <w:rsid w:val="003050CE"/>
    <w:rsid w:val="00313617"/>
    <w:rsid w:val="00313B4A"/>
    <w:rsid w:val="00315A2E"/>
    <w:rsid w:val="00323351"/>
    <w:rsid w:val="003262A7"/>
    <w:rsid w:val="003310EB"/>
    <w:rsid w:val="00341FD2"/>
    <w:rsid w:val="00342F09"/>
    <w:rsid w:val="003472FE"/>
    <w:rsid w:val="00347BEE"/>
    <w:rsid w:val="00356E07"/>
    <w:rsid w:val="003602AD"/>
    <w:rsid w:val="003642BE"/>
    <w:rsid w:val="00366A83"/>
    <w:rsid w:val="003670B8"/>
    <w:rsid w:val="00367922"/>
    <w:rsid w:val="003736DA"/>
    <w:rsid w:val="00373B11"/>
    <w:rsid w:val="003858C8"/>
    <w:rsid w:val="00390C1E"/>
    <w:rsid w:val="00393B62"/>
    <w:rsid w:val="003A05D8"/>
    <w:rsid w:val="003A10FA"/>
    <w:rsid w:val="003B02A5"/>
    <w:rsid w:val="003B7C26"/>
    <w:rsid w:val="003C2C55"/>
    <w:rsid w:val="003C333A"/>
    <w:rsid w:val="003C35AD"/>
    <w:rsid w:val="003C3790"/>
    <w:rsid w:val="003C3A71"/>
    <w:rsid w:val="003C7565"/>
    <w:rsid w:val="003D77FE"/>
    <w:rsid w:val="003E0046"/>
    <w:rsid w:val="003E046F"/>
    <w:rsid w:val="003F0B27"/>
    <w:rsid w:val="003F125B"/>
    <w:rsid w:val="003F13D7"/>
    <w:rsid w:val="003F38E7"/>
    <w:rsid w:val="003F511C"/>
    <w:rsid w:val="00406D2E"/>
    <w:rsid w:val="00413502"/>
    <w:rsid w:val="00416534"/>
    <w:rsid w:val="00417DB3"/>
    <w:rsid w:val="00420B5B"/>
    <w:rsid w:val="00431EA7"/>
    <w:rsid w:val="00433DE4"/>
    <w:rsid w:val="004340D1"/>
    <w:rsid w:val="00444A18"/>
    <w:rsid w:val="004478F2"/>
    <w:rsid w:val="0045072B"/>
    <w:rsid w:val="00454F38"/>
    <w:rsid w:val="00460683"/>
    <w:rsid w:val="004665CA"/>
    <w:rsid w:val="004701BA"/>
    <w:rsid w:val="00483B73"/>
    <w:rsid w:val="004863F8"/>
    <w:rsid w:val="00494DBA"/>
    <w:rsid w:val="00496663"/>
    <w:rsid w:val="004A1BDA"/>
    <w:rsid w:val="004A3588"/>
    <w:rsid w:val="004A41E7"/>
    <w:rsid w:val="004B3C05"/>
    <w:rsid w:val="004C162E"/>
    <w:rsid w:val="004C2DA3"/>
    <w:rsid w:val="004C7534"/>
    <w:rsid w:val="004C79A0"/>
    <w:rsid w:val="004D6110"/>
    <w:rsid w:val="004E36C6"/>
    <w:rsid w:val="004E69BB"/>
    <w:rsid w:val="004F6CA0"/>
    <w:rsid w:val="00500E6F"/>
    <w:rsid w:val="005020A5"/>
    <w:rsid w:val="00503D91"/>
    <w:rsid w:val="00505B8A"/>
    <w:rsid w:val="00513216"/>
    <w:rsid w:val="00514D0B"/>
    <w:rsid w:val="005169D8"/>
    <w:rsid w:val="005177E1"/>
    <w:rsid w:val="00521876"/>
    <w:rsid w:val="00521D85"/>
    <w:rsid w:val="00521F69"/>
    <w:rsid w:val="00524314"/>
    <w:rsid w:val="00524DA6"/>
    <w:rsid w:val="00525860"/>
    <w:rsid w:val="005326FA"/>
    <w:rsid w:val="005351E6"/>
    <w:rsid w:val="005356A7"/>
    <w:rsid w:val="00541DAE"/>
    <w:rsid w:val="00541F7B"/>
    <w:rsid w:val="0054241E"/>
    <w:rsid w:val="005429F5"/>
    <w:rsid w:val="00546B5C"/>
    <w:rsid w:val="00553181"/>
    <w:rsid w:val="00555EF7"/>
    <w:rsid w:val="005603E4"/>
    <w:rsid w:val="0056181B"/>
    <w:rsid w:val="0056564C"/>
    <w:rsid w:val="005704A3"/>
    <w:rsid w:val="00571BB9"/>
    <w:rsid w:val="00571CAE"/>
    <w:rsid w:val="00573BE8"/>
    <w:rsid w:val="0057540F"/>
    <w:rsid w:val="00576019"/>
    <w:rsid w:val="00580323"/>
    <w:rsid w:val="00581BA0"/>
    <w:rsid w:val="00596E4C"/>
    <w:rsid w:val="005A17AB"/>
    <w:rsid w:val="005A416C"/>
    <w:rsid w:val="005A773C"/>
    <w:rsid w:val="005A7E30"/>
    <w:rsid w:val="005C2C76"/>
    <w:rsid w:val="005C6E33"/>
    <w:rsid w:val="005D15BC"/>
    <w:rsid w:val="005D1FFF"/>
    <w:rsid w:val="005E0F03"/>
    <w:rsid w:val="005E27B6"/>
    <w:rsid w:val="005E424F"/>
    <w:rsid w:val="005E44FD"/>
    <w:rsid w:val="005E5D71"/>
    <w:rsid w:val="005F092C"/>
    <w:rsid w:val="005F09B5"/>
    <w:rsid w:val="005F2FA8"/>
    <w:rsid w:val="005F41FF"/>
    <w:rsid w:val="005F4C1F"/>
    <w:rsid w:val="005F7BE7"/>
    <w:rsid w:val="00600203"/>
    <w:rsid w:val="00600A6A"/>
    <w:rsid w:val="006049EF"/>
    <w:rsid w:val="00610052"/>
    <w:rsid w:val="0061102D"/>
    <w:rsid w:val="00611059"/>
    <w:rsid w:val="00616181"/>
    <w:rsid w:val="006255B0"/>
    <w:rsid w:val="0063002F"/>
    <w:rsid w:val="00633341"/>
    <w:rsid w:val="00635719"/>
    <w:rsid w:val="0063661E"/>
    <w:rsid w:val="0064022D"/>
    <w:rsid w:val="00641AA7"/>
    <w:rsid w:val="00644C38"/>
    <w:rsid w:val="006514EE"/>
    <w:rsid w:val="006525D9"/>
    <w:rsid w:val="00652FAE"/>
    <w:rsid w:val="006539AF"/>
    <w:rsid w:val="00656ED1"/>
    <w:rsid w:val="006626A9"/>
    <w:rsid w:val="00663515"/>
    <w:rsid w:val="00663A79"/>
    <w:rsid w:val="00664032"/>
    <w:rsid w:val="006651B5"/>
    <w:rsid w:val="00667AD9"/>
    <w:rsid w:val="00683F8B"/>
    <w:rsid w:val="00685F59"/>
    <w:rsid w:val="00692536"/>
    <w:rsid w:val="006935C8"/>
    <w:rsid w:val="006A3E02"/>
    <w:rsid w:val="006A7488"/>
    <w:rsid w:val="006C139B"/>
    <w:rsid w:val="006C293F"/>
    <w:rsid w:val="006C4FC8"/>
    <w:rsid w:val="006C6D55"/>
    <w:rsid w:val="006C7C06"/>
    <w:rsid w:val="006C7EE0"/>
    <w:rsid w:val="006C7F74"/>
    <w:rsid w:val="006D0423"/>
    <w:rsid w:val="006D6665"/>
    <w:rsid w:val="006D6C2F"/>
    <w:rsid w:val="006E24C6"/>
    <w:rsid w:val="006E2D6D"/>
    <w:rsid w:val="006E6EB2"/>
    <w:rsid w:val="006F1B18"/>
    <w:rsid w:val="006F382D"/>
    <w:rsid w:val="006F7D97"/>
    <w:rsid w:val="00707972"/>
    <w:rsid w:val="00713804"/>
    <w:rsid w:val="00723F52"/>
    <w:rsid w:val="00731AD2"/>
    <w:rsid w:val="00733194"/>
    <w:rsid w:val="007465FA"/>
    <w:rsid w:val="007467E1"/>
    <w:rsid w:val="00755935"/>
    <w:rsid w:val="007609B1"/>
    <w:rsid w:val="00761C60"/>
    <w:rsid w:val="00762CC7"/>
    <w:rsid w:val="00765902"/>
    <w:rsid w:val="0076652F"/>
    <w:rsid w:val="007825CF"/>
    <w:rsid w:val="00785084"/>
    <w:rsid w:val="00785227"/>
    <w:rsid w:val="0078782D"/>
    <w:rsid w:val="00790DF5"/>
    <w:rsid w:val="00796F6F"/>
    <w:rsid w:val="007A231C"/>
    <w:rsid w:val="007A2ACC"/>
    <w:rsid w:val="007A6FD7"/>
    <w:rsid w:val="007C6FA1"/>
    <w:rsid w:val="007D1685"/>
    <w:rsid w:val="007D2450"/>
    <w:rsid w:val="007D3400"/>
    <w:rsid w:val="007E08B5"/>
    <w:rsid w:val="007E59F2"/>
    <w:rsid w:val="007E75D5"/>
    <w:rsid w:val="007F05FD"/>
    <w:rsid w:val="007F06E1"/>
    <w:rsid w:val="007F30CC"/>
    <w:rsid w:val="007F5F08"/>
    <w:rsid w:val="007F7EE5"/>
    <w:rsid w:val="008015DE"/>
    <w:rsid w:val="0080264C"/>
    <w:rsid w:val="00810294"/>
    <w:rsid w:val="00813851"/>
    <w:rsid w:val="00814CE2"/>
    <w:rsid w:val="008170DD"/>
    <w:rsid w:val="00817FF6"/>
    <w:rsid w:val="00822B40"/>
    <w:rsid w:val="00825535"/>
    <w:rsid w:val="0083669C"/>
    <w:rsid w:val="00836E78"/>
    <w:rsid w:val="00855635"/>
    <w:rsid w:val="00862134"/>
    <w:rsid w:val="008624F6"/>
    <w:rsid w:val="0086692B"/>
    <w:rsid w:val="008721E2"/>
    <w:rsid w:val="00872314"/>
    <w:rsid w:val="008745A8"/>
    <w:rsid w:val="008765EC"/>
    <w:rsid w:val="00884721"/>
    <w:rsid w:val="00884CC6"/>
    <w:rsid w:val="00886338"/>
    <w:rsid w:val="00887A9D"/>
    <w:rsid w:val="00892EE5"/>
    <w:rsid w:val="00895033"/>
    <w:rsid w:val="008A12A8"/>
    <w:rsid w:val="008A3A33"/>
    <w:rsid w:val="008A6F52"/>
    <w:rsid w:val="008B15BA"/>
    <w:rsid w:val="008B64EC"/>
    <w:rsid w:val="008B706C"/>
    <w:rsid w:val="008B79CE"/>
    <w:rsid w:val="008C278F"/>
    <w:rsid w:val="008D7460"/>
    <w:rsid w:val="008E154F"/>
    <w:rsid w:val="008E2116"/>
    <w:rsid w:val="008E32A6"/>
    <w:rsid w:val="008E42B7"/>
    <w:rsid w:val="008E51B4"/>
    <w:rsid w:val="008E6635"/>
    <w:rsid w:val="008F03A3"/>
    <w:rsid w:val="008F2B7A"/>
    <w:rsid w:val="00903648"/>
    <w:rsid w:val="00903B6A"/>
    <w:rsid w:val="00907140"/>
    <w:rsid w:val="00912737"/>
    <w:rsid w:val="00914F16"/>
    <w:rsid w:val="00915D41"/>
    <w:rsid w:val="00920911"/>
    <w:rsid w:val="009273B4"/>
    <w:rsid w:val="00930601"/>
    <w:rsid w:val="009308A0"/>
    <w:rsid w:val="00932F25"/>
    <w:rsid w:val="0093466F"/>
    <w:rsid w:val="009353CB"/>
    <w:rsid w:val="00937617"/>
    <w:rsid w:val="00940552"/>
    <w:rsid w:val="009414F8"/>
    <w:rsid w:val="00944636"/>
    <w:rsid w:val="00955FA4"/>
    <w:rsid w:val="0096276D"/>
    <w:rsid w:val="00963790"/>
    <w:rsid w:val="00966507"/>
    <w:rsid w:val="0097095B"/>
    <w:rsid w:val="009731A2"/>
    <w:rsid w:val="00975115"/>
    <w:rsid w:val="00981D40"/>
    <w:rsid w:val="00984A60"/>
    <w:rsid w:val="009913E3"/>
    <w:rsid w:val="00991734"/>
    <w:rsid w:val="009942F5"/>
    <w:rsid w:val="009A10F6"/>
    <w:rsid w:val="009A7C55"/>
    <w:rsid w:val="009B158E"/>
    <w:rsid w:val="009B4D8D"/>
    <w:rsid w:val="009B5C62"/>
    <w:rsid w:val="009B6E7F"/>
    <w:rsid w:val="009C0CCE"/>
    <w:rsid w:val="009C78CE"/>
    <w:rsid w:val="009D67F5"/>
    <w:rsid w:val="009E32D4"/>
    <w:rsid w:val="009F1288"/>
    <w:rsid w:val="009F55BD"/>
    <w:rsid w:val="00A00741"/>
    <w:rsid w:val="00A067E9"/>
    <w:rsid w:val="00A06EE1"/>
    <w:rsid w:val="00A075E1"/>
    <w:rsid w:val="00A07779"/>
    <w:rsid w:val="00A07EB6"/>
    <w:rsid w:val="00A107BC"/>
    <w:rsid w:val="00A13B7A"/>
    <w:rsid w:val="00A1755F"/>
    <w:rsid w:val="00A241ED"/>
    <w:rsid w:val="00A327D4"/>
    <w:rsid w:val="00A354D2"/>
    <w:rsid w:val="00A41217"/>
    <w:rsid w:val="00A443A2"/>
    <w:rsid w:val="00A46FD4"/>
    <w:rsid w:val="00A53A17"/>
    <w:rsid w:val="00A5422F"/>
    <w:rsid w:val="00A5471A"/>
    <w:rsid w:val="00A54E05"/>
    <w:rsid w:val="00A604F1"/>
    <w:rsid w:val="00A67595"/>
    <w:rsid w:val="00A71DA3"/>
    <w:rsid w:val="00A74EE9"/>
    <w:rsid w:val="00A76FF8"/>
    <w:rsid w:val="00A7714F"/>
    <w:rsid w:val="00A80D92"/>
    <w:rsid w:val="00A86E08"/>
    <w:rsid w:val="00A87444"/>
    <w:rsid w:val="00A9410A"/>
    <w:rsid w:val="00A94E7E"/>
    <w:rsid w:val="00A96392"/>
    <w:rsid w:val="00AA3024"/>
    <w:rsid w:val="00AA4D6F"/>
    <w:rsid w:val="00AA5DD4"/>
    <w:rsid w:val="00AA65FB"/>
    <w:rsid w:val="00AA7C20"/>
    <w:rsid w:val="00AB0A4B"/>
    <w:rsid w:val="00AC5F80"/>
    <w:rsid w:val="00AD76A5"/>
    <w:rsid w:val="00AE17B9"/>
    <w:rsid w:val="00AE2A2E"/>
    <w:rsid w:val="00B020CD"/>
    <w:rsid w:val="00B055F8"/>
    <w:rsid w:val="00B121B7"/>
    <w:rsid w:val="00B142D5"/>
    <w:rsid w:val="00B157A2"/>
    <w:rsid w:val="00B22A42"/>
    <w:rsid w:val="00B2336E"/>
    <w:rsid w:val="00B31622"/>
    <w:rsid w:val="00B352BE"/>
    <w:rsid w:val="00B36369"/>
    <w:rsid w:val="00B42CA9"/>
    <w:rsid w:val="00B455B3"/>
    <w:rsid w:val="00B4725C"/>
    <w:rsid w:val="00B47843"/>
    <w:rsid w:val="00B53536"/>
    <w:rsid w:val="00B56612"/>
    <w:rsid w:val="00B57BED"/>
    <w:rsid w:val="00B8386F"/>
    <w:rsid w:val="00B92BE5"/>
    <w:rsid w:val="00B93196"/>
    <w:rsid w:val="00B964C5"/>
    <w:rsid w:val="00B9745D"/>
    <w:rsid w:val="00BB2898"/>
    <w:rsid w:val="00BB332A"/>
    <w:rsid w:val="00BB4D32"/>
    <w:rsid w:val="00BC0776"/>
    <w:rsid w:val="00BC59E4"/>
    <w:rsid w:val="00BC6224"/>
    <w:rsid w:val="00BC65B3"/>
    <w:rsid w:val="00BD7EF7"/>
    <w:rsid w:val="00BE0451"/>
    <w:rsid w:val="00BE0B2D"/>
    <w:rsid w:val="00BE1C1C"/>
    <w:rsid w:val="00BF398F"/>
    <w:rsid w:val="00C049A5"/>
    <w:rsid w:val="00C17D47"/>
    <w:rsid w:val="00C215DB"/>
    <w:rsid w:val="00C217FD"/>
    <w:rsid w:val="00C31F8F"/>
    <w:rsid w:val="00C34789"/>
    <w:rsid w:val="00C43A08"/>
    <w:rsid w:val="00C46874"/>
    <w:rsid w:val="00C54983"/>
    <w:rsid w:val="00C54D2A"/>
    <w:rsid w:val="00C57D76"/>
    <w:rsid w:val="00C60D35"/>
    <w:rsid w:val="00C66C2C"/>
    <w:rsid w:val="00C66F11"/>
    <w:rsid w:val="00C757D6"/>
    <w:rsid w:val="00C8114A"/>
    <w:rsid w:val="00C8499C"/>
    <w:rsid w:val="00C85CCC"/>
    <w:rsid w:val="00C86580"/>
    <w:rsid w:val="00C91664"/>
    <w:rsid w:val="00C93AB4"/>
    <w:rsid w:val="00C94DF2"/>
    <w:rsid w:val="00CA0359"/>
    <w:rsid w:val="00CA4A85"/>
    <w:rsid w:val="00CB4A28"/>
    <w:rsid w:val="00CC39CD"/>
    <w:rsid w:val="00CC7474"/>
    <w:rsid w:val="00CC7AFF"/>
    <w:rsid w:val="00CD1106"/>
    <w:rsid w:val="00CD4BB4"/>
    <w:rsid w:val="00CE6489"/>
    <w:rsid w:val="00CE68B0"/>
    <w:rsid w:val="00CE7961"/>
    <w:rsid w:val="00D027AF"/>
    <w:rsid w:val="00D04BEB"/>
    <w:rsid w:val="00D102F4"/>
    <w:rsid w:val="00D1130D"/>
    <w:rsid w:val="00D12383"/>
    <w:rsid w:val="00D145DD"/>
    <w:rsid w:val="00D16238"/>
    <w:rsid w:val="00D2001C"/>
    <w:rsid w:val="00D21613"/>
    <w:rsid w:val="00D24234"/>
    <w:rsid w:val="00D257D0"/>
    <w:rsid w:val="00D30256"/>
    <w:rsid w:val="00D31128"/>
    <w:rsid w:val="00D314B9"/>
    <w:rsid w:val="00D42801"/>
    <w:rsid w:val="00D42D34"/>
    <w:rsid w:val="00D64181"/>
    <w:rsid w:val="00D74B12"/>
    <w:rsid w:val="00D767C4"/>
    <w:rsid w:val="00D77921"/>
    <w:rsid w:val="00D83919"/>
    <w:rsid w:val="00D86473"/>
    <w:rsid w:val="00D87CD8"/>
    <w:rsid w:val="00D931B0"/>
    <w:rsid w:val="00D96783"/>
    <w:rsid w:val="00D9781E"/>
    <w:rsid w:val="00DA0575"/>
    <w:rsid w:val="00DB55FF"/>
    <w:rsid w:val="00DB742E"/>
    <w:rsid w:val="00DB7FD5"/>
    <w:rsid w:val="00DC4D91"/>
    <w:rsid w:val="00DC79AC"/>
    <w:rsid w:val="00DD2F8A"/>
    <w:rsid w:val="00DD5E04"/>
    <w:rsid w:val="00DF0359"/>
    <w:rsid w:val="00DF040A"/>
    <w:rsid w:val="00DF5160"/>
    <w:rsid w:val="00DF6D13"/>
    <w:rsid w:val="00E00C7D"/>
    <w:rsid w:val="00E14B8A"/>
    <w:rsid w:val="00E15E97"/>
    <w:rsid w:val="00E1687C"/>
    <w:rsid w:val="00E17B4F"/>
    <w:rsid w:val="00E202E9"/>
    <w:rsid w:val="00E2082E"/>
    <w:rsid w:val="00E25213"/>
    <w:rsid w:val="00E30205"/>
    <w:rsid w:val="00E32EC7"/>
    <w:rsid w:val="00E33025"/>
    <w:rsid w:val="00E34A1A"/>
    <w:rsid w:val="00E40C07"/>
    <w:rsid w:val="00E415A8"/>
    <w:rsid w:val="00E43CF3"/>
    <w:rsid w:val="00E4551A"/>
    <w:rsid w:val="00E467B6"/>
    <w:rsid w:val="00E524DF"/>
    <w:rsid w:val="00E55315"/>
    <w:rsid w:val="00E566C2"/>
    <w:rsid w:val="00E56CF4"/>
    <w:rsid w:val="00E5709A"/>
    <w:rsid w:val="00E63AA9"/>
    <w:rsid w:val="00E63F34"/>
    <w:rsid w:val="00E645AF"/>
    <w:rsid w:val="00E64F00"/>
    <w:rsid w:val="00E7479D"/>
    <w:rsid w:val="00E74BB1"/>
    <w:rsid w:val="00E74D83"/>
    <w:rsid w:val="00E81641"/>
    <w:rsid w:val="00E83D6F"/>
    <w:rsid w:val="00E8412C"/>
    <w:rsid w:val="00E8412D"/>
    <w:rsid w:val="00E84722"/>
    <w:rsid w:val="00E92FA6"/>
    <w:rsid w:val="00E93DB2"/>
    <w:rsid w:val="00EA1BEE"/>
    <w:rsid w:val="00EB5455"/>
    <w:rsid w:val="00EC5516"/>
    <w:rsid w:val="00ED00C5"/>
    <w:rsid w:val="00ED2968"/>
    <w:rsid w:val="00ED7B38"/>
    <w:rsid w:val="00EE0EA3"/>
    <w:rsid w:val="00EE1516"/>
    <w:rsid w:val="00EE43C6"/>
    <w:rsid w:val="00EE5389"/>
    <w:rsid w:val="00EE7E3C"/>
    <w:rsid w:val="00EF0C65"/>
    <w:rsid w:val="00EF1491"/>
    <w:rsid w:val="00EF3194"/>
    <w:rsid w:val="00EF61C2"/>
    <w:rsid w:val="00EF6A6C"/>
    <w:rsid w:val="00F00A09"/>
    <w:rsid w:val="00F0717A"/>
    <w:rsid w:val="00F15703"/>
    <w:rsid w:val="00F15DD1"/>
    <w:rsid w:val="00F171DF"/>
    <w:rsid w:val="00F216CD"/>
    <w:rsid w:val="00F23C1F"/>
    <w:rsid w:val="00F3000F"/>
    <w:rsid w:val="00F30DEC"/>
    <w:rsid w:val="00F33088"/>
    <w:rsid w:val="00F35584"/>
    <w:rsid w:val="00F35981"/>
    <w:rsid w:val="00F36002"/>
    <w:rsid w:val="00F364C1"/>
    <w:rsid w:val="00F40536"/>
    <w:rsid w:val="00F4490E"/>
    <w:rsid w:val="00F500C0"/>
    <w:rsid w:val="00F51304"/>
    <w:rsid w:val="00F5147D"/>
    <w:rsid w:val="00F51F52"/>
    <w:rsid w:val="00F553CB"/>
    <w:rsid w:val="00F57986"/>
    <w:rsid w:val="00F57A22"/>
    <w:rsid w:val="00F6038F"/>
    <w:rsid w:val="00F63B76"/>
    <w:rsid w:val="00F63E63"/>
    <w:rsid w:val="00F70266"/>
    <w:rsid w:val="00F72841"/>
    <w:rsid w:val="00F75B36"/>
    <w:rsid w:val="00F80850"/>
    <w:rsid w:val="00F84113"/>
    <w:rsid w:val="00F862EB"/>
    <w:rsid w:val="00F86507"/>
    <w:rsid w:val="00F91186"/>
    <w:rsid w:val="00F95D69"/>
    <w:rsid w:val="00F9644C"/>
    <w:rsid w:val="00FA0A07"/>
    <w:rsid w:val="00FB1624"/>
    <w:rsid w:val="00FB3FBA"/>
    <w:rsid w:val="00FB6054"/>
    <w:rsid w:val="00FB673E"/>
    <w:rsid w:val="00FC1E7C"/>
    <w:rsid w:val="00FC519E"/>
    <w:rsid w:val="00FD02CB"/>
    <w:rsid w:val="00FD4ED8"/>
    <w:rsid w:val="00FE0A6F"/>
    <w:rsid w:val="00FE3BCF"/>
    <w:rsid w:val="00FE4115"/>
    <w:rsid w:val="00FF445C"/>
    <w:rsid w:val="00FF5A7E"/>
    <w:rsid w:val="00FF7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436786-5AFA-438B-B100-CFE8BE4F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F2"/>
    <w:pPr>
      <w:jc w:val="right"/>
    </w:pPr>
    <w:rPr>
      <w:rFonts w:asciiTheme="majorBidi" w:eastAsia="B Mitra" w:hAnsiTheme="majorBidi" w:cs="B Lotus"/>
      <w:sz w:val="28"/>
      <w:szCs w:val="28"/>
    </w:rPr>
  </w:style>
  <w:style w:type="paragraph" w:styleId="Heading1">
    <w:name w:val="heading 1"/>
    <w:basedOn w:val="Normal"/>
    <w:next w:val="Normal"/>
    <w:link w:val="Heading1Char"/>
    <w:autoRedefine/>
    <w:uiPriority w:val="9"/>
    <w:qFormat/>
    <w:rsid w:val="00963790"/>
    <w:pPr>
      <w:keepNext/>
      <w:keepLines/>
      <w:tabs>
        <w:tab w:val="right" w:pos="6120"/>
      </w:tabs>
      <w:bidi/>
      <w:spacing w:before="240" w:after="0"/>
      <w:ind w:firstLine="360"/>
      <w:jc w:val="center"/>
      <w:outlineLvl w:val="0"/>
    </w:pPr>
    <w:rPr>
      <w:rFonts w:asciiTheme="majorHAnsi" w:eastAsiaTheme="majorEastAsia" w:hAnsiTheme="majorHAnsi" w:cs="B Titr"/>
      <w:bCs/>
      <w:sz w:val="36"/>
      <w:szCs w:val="36"/>
      <w:lang w:bidi="fa-IR"/>
    </w:rPr>
  </w:style>
  <w:style w:type="paragraph" w:styleId="Heading2">
    <w:name w:val="heading 2"/>
    <w:basedOn w:val="Normal"/>
    <w:next w:val="Normal"/>
    <w:link w:val="Heading2Char"/>
    <w:uiPriority w:val="9"/>
    <w:unhideWhenUsed/>
    <w:qFormat/>
    <w:rsid w:val="003602AD"/>
    <w:pPr>
      <w:keepNext/>
      <w:keepLines/>
      <w:spacing w:before="200" w:after="0" w:line="276" w:lineRule="auto"/>
      <w:jc w:val="left"/>
      <w:outlineLvl w:val="1"/>
    </w:pPr>
    <w:rPr>
      <w:rFonts w:asciiTheme="majorHAnsi" w:eastAsiaTheme="majorEastAsia" w:hAnsiTheme="majorHAnsi" w:cs="B Nazanin"/>
      <w:b/>
      <w:bCs/>
      <w:sz w:val="26"/>
      <w:szCs w:val="32"/>
    </w:rPr>
  </w:style>
  <w:style w:type="paragraph" w:styleId="Heading3">
    <w:name w:val="heading 3"/>
    <w:basedOn w:val="Normal"/>
    <w:next w:val="Normal"/>
    <w:link w:val="Heading3Char"/>
    <w:autoRedefine/>
    <w:uiPriority w:val="9"/>
    <w:unhideWhenUsed/>
    <w:qFormat/>
    <w:rsid w:val="000A47F6"/>
    <w:pPr>
      <w:keepNext/>
      <w:keepLines/>
      <w:bidi/>
      <w:spacing w:before="200" w:after="0"/>
      <w:ind w:firstLine="360"/>
      <w:jc w:val="left"/>
      <w:outlineLvl w:val="2"/>
    </w:pPr>
    <w:rPr>
      <w:rFonts w:asciiTheme="majorHAnsi" w:eastAsiaTheme="majorEastAsia" w:hAnsiTheme="majorHAnsi" w:cs="B Nazanin"/>
      <w:b/>
      <w:bCs/>
      <w:szCs w:val="30"/>
      <w:lang w:bidi="fa-IR"/>
    </w:rPr>
  </w:style>
  <w:style w:type="paragraph" w:styleId="Heading4">
    <w:name w:val="heading 4"/>
    <w:basedOn w:val="Normal"/>
    <w:next w:val="Normal"/>
    <w:link w:val="Heading4Char"/>
    <w:autoRedefine/>
    <w:uiPriority w:val="9"/>
    <w:unhideWhenUsed/>
    <w:qFormat/>
    <w:rsid w:val="00BB2898"/>
    <w:pPr>
      <w:keepNext/>
      <w:keepLines/>
      <w:bidi/>
      <w:spacing w:before="200" w:after="0" w:line="276" w:lineRule="auto"/>
      <w:ind w:firstLine="360"/>
      <w:jc w:val="mediumKashida"/>
      <w:outlineLvl w:val="3"/>
    </w:pPr>
    <w:rPr>
      <w:rFonts w:asciiTheme="majorHAnsi" w:eastAsiaTheme="majorEastAsia" w:hAnsiTheme="majorHAnsi" w:cs="B Nazanin"/>
      <w:b/>
      <w:bCs/>
      <w:sz w:val="22"/>
      <w:lang w:bidi="fa-IR"/>
    </w:rPr>
  </w:style>
  <w:style w:type="paragraph" w:styleId="Heading5">
    <w:name w:val="heading 5"/>
    <w:basedOn w:val="Normal"/>
    <w:next w:val="Normal"/>
    <w:link w:val="Heading5Char"/>
    <w:autoRedefine/>
    <w:uiPriority w:val="9"/>
    <w:unhideWhenUsed/>
    <w:qFormat/>
    <w:rsid w:val="00DB55FF"/>
    <w:pPr>
      <w:keepNext/>
      <w:keepLines/>
      <w:spacing w:before="200" w:after="0"/>
      <w:jc w:val="left"/>
      <w:outlineLvl w:val="4"/>
    </w:pPr>
    <w:rPr>
      <w:rFonts w:ascii="Calibri" w:eastAsiaTheme="majorEastAsia" w:hAnsi="Calibr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FD5"/>
    <w:pPr>
      <w:spacing w:after="0" w:line="240" w:lineRule="auto"/>
    </w:pPr>
    <w:rPr>
      <w:sz w:val="20"/>
      <w:szCs w:val="20"/>
    </w:rPr>
  </w:style>
  <w:style w:type="character" w:customStyle="1" w:styleId="FootnoteTextChar">
    <w:name w:val="Footnote Text Char"/>
    <w:basedOn w:val="DefaultParagraphFont"/>
    <w:link w:val="FootnoteText"/>
    <w:uiPriority w:val="99"/>
    <w:rsid w:val="00DB7FD5"/>
    <w:rPr>
      <w:rFonts w:ascii="B Mitra" w:eastAsia="B Mitra" w:hAnsi="B Mitra" w:cs="B Mitra"/>
      <w:sz w:val="20"/>
      <w:szCs w:val="20"/>
    </w:rPr>
  </w:style>
  <w:style w:type="character" w:styleId="FootnoteReference">
    <w:name w:val="footnote reference"/>
    <w:basedOn w:val="DefaultParagraphFont"/>
    <w:uiPriority w:val="99"/>
    <w:semiHidden/>
    <w:unhideWhenUsed/>
    <w:rsid w:val="00DB7FD5"/>
    <w:rPr>
      <w:vertAlign w:val="superscript"/>
    </w:rPr>
  </w:style>
  <w:style w:type="paragraph" w:styleId="ListParagraph">
    <w:name w:val="List Paragraph"/>
    <w:basedOn w:val="Normal"/>
    <w:uiPriority w:val="34"/>
    <w:qFormat/>
    <w:rsid w:val="0093466F"/>
    <w:pPr>
      <w:ind w:left="720"/>
      <w:contextualSpacing/>
    </w:pPr>
  </w:style>
  <w:style w:type="character" w:customStyle="1" w:styleId="Heading1Char">
    <w:name w:val="Heading 1 Char"/>
    <w:basedOn w:val="DefaultParagraphFont"/>
    <w:link w:val="Heading1"/>
    <w:uiPriority w:val="9"/>
    <w:rsid w:val="00963790"/>
    <w:rPr>
      <w:rFonts w:asciiTheme="majorHAnsi" w:eastAsiaTheme="majorEastAsia" w:hAnsiTheme="majorHAnsi" w:cs="B Titr"/>
      <w:bCs/>
      <w:sz w:val="36"/>
      <w:szCs w:val="36"/>
      <w:lang w:bidi="fa-IR"/>
    </w:rPr>
  </w:style>
  <w:style w:type="paragraph" w:styleId="Header">
    <w:name w:val="header"/>
    <w:basedOn w:val="Normal"/>
    <w:link w:val="HeaderChar"/>
    <w:uiPriority w:val="99"/>
    <w:unhideWhenUsed/>
    <w:rsid w:val="00E1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8A"/>
    <w:rPr>
      <w:rFonts w:asciiTheme="majorBidi" w:eastAsia="B Mitra" w:hAnsiTheme="majorBidi" w:cs="B Mitra"/>
      <w:sz w:val="28"/>
      <w:szCs w:val="28"/>
    </w:rPr>
  </w:style>
  <w:style w:type="paragraph" w:styleId="Footer">
    <w:name w:val="footer"/>
    <w:basedOn w:val="Normal"/>
    <w:link w:val="FooterChar"/>
    <w:uiPriority w:val="99"/>
    <w:unhideWhenUsed/>
    <w:rsid w:val="00E1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8A"/>
    <w:rPr>
      <w:rFonts w:asciiTheme="majorBidi" w:eastAsia="B Mitra" w:hAnsiTheme="majorBidi" w:cs="B Mitra"/>
      <w:sz w:val="28"/>
      <w:szCs w:val="28"/>
    </w:rPr>
  </w:style>
  <w:style w:type="character" w:customStyle="1" w:styleId="Heading3Char">
    <w:name w:val="Heading 3 Char"/>
    <w:basedOn w:val="DefaultParagraphFont"/>
    <w:link w:val="Heading3"/>
    <w:uiPriority w:val="9"/>
    <w:rsid w:val="000A47F6"/>
    <w:rPr>
      <w:rFonts w:asciiTheme="majorHAnsi" w:eastAsiaTheme="majorEastAsia" w:hAnsiTheme="majorHAnsi" w:cs="B Nazanin"/>
      <w:b/>
      <w:bCs/>
      <w:sz w:val="28"/>
      <w:szCs w:val="30"/>
      <w:lang w:bidi="fa-IR"/>
    </w:rPr>
  </w:style>
  <w:style w:type="character" w:customStyle="1" w:styleId="Heading2Char">
    <w:name w:val="Heading 2 Char"/>
    <w:basedOn w:val="DefaultParagraphFont"/>
    <w:link w:val="Heading2"/>
    <w:uiPriority w:val="9"/>
    <w:rsid w:val="003602AD"/>
    <w:rPr>
      <w:rFonts w:asciiTheme="majorHAnsi" w:eastAsiaTheme="majorEastAsia" w:hAnsiTheme="majorHAnsi" w:cs="B Nazanin"/>
      <w:b/>
      <w:bCs/>
      <w:sz w:val="26"/>
      <w:szCs w:val="32"/>
    </w:rPr>
  </w:style>
  <w:style w:type="character" w:customStyle="1" w:styleId="Heading4Char">
    <w:name w:val="Heading 4 Char"/>
    <w:basedOn w:val="DefaultParagraphFont"/>
    <w:link w:val="Heading4"/>
    <w:uiPriority w:val="9"/>
    <w:rsid w:val="00BB2898"/>
    <w:rPr>
      <w:rFonts w:asciiTheme="majorHAnsi" w:eastAsiaTheme="majorEastAsia" w:hAnsiTheme="majorHAnsi" w:cs="B Nazanin"/>
      <w:b/>
      <w:bCs/>
      <w:szCs w:val="28"/>
      <w:lang w:bidi="fa-IR"/>
    </w:rPr>
  </w:style>
  <w:style w:type="paragraph" w:styleId="NormalWeb">
    <w:name w:val="Normal (Web)"/>
    <w:basedOn w:val="Normal"/>
    <w:uiPriority w:val="99"/>
    <w:semiHidden/>
    <w:unhideWhenUsed/>
    <w:rsid w:val="003602AD"/>
    <w:pPr>
      <w:spacing w:after="200" w:line="276" w:lineRule="auto"/>
      <w:jc w:val="left"/>
    </w:pPr>
    <w:rPr>
      <w:rFonts w:ascii="Times New Roman" w:eastAsiaTheme="minorHAnsi" w:hAnsi="Times New Roman" w:cs="Times New Roman"/>
      <w:sz w:val="24"/>
      <w:szCs w:val="24"/>
    </w:rPr>
  </w:style>
  <w:style w:type="character" w:styleId="SubtleEmphasis">
    <w:name w:val="Subtle Emphasis"/>
    <w:basedOn w:val="DefaultParagraphFont"/>
    <w:uiPriority w:val="19"/>
    <w:qFormat/>
    <w:rsid w:val="003602AD"/>
    <w:rPr>
      <w:i/>
      <w:iCs/>
      <w:color w:val="808080" w:themeColor="text1" w:themeTint="7F"/>
    </w:rPr>
  </w:style>
  <w:style w:type="paragraph" w:styleId="Title">
    <w:name w:val="Title"/>
    <w:basedOn w:val="Normal"/>
    <w:next w:val="Normal"/>
    <w:link w:val="TitleChar"/>
    <w:uiPriority w:val="10"/>
    <w:qFormat/>
    <w:rsid w:val="003602AD"/>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02AD"/>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32D4"/>
    <w:rPr>
      <w:color w:val="0563C1" w:themeColor="hyperlink"/>
      <w:u w:val="single"/>
    </w:rPr>
  </w:style>
  <w:style w:type="paragraph" w:styleId="BalloonText">
    <w:name w:val="Balloon Text"/>
    <w:basedOn w:val="Normal"/>
    <w:link w:val="BalloonTextChar"/>
    <w:uiPriority w:val="99"/>
    <w:semiHidden/>
    <w:unhideWhenUsed/>
    <w:rsid w:val="00B2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6E"/>
    <w:rPr>
      <w:rFonts w:ascii="Tahoma" w:eastAsia="B Mitra" w:hAnsi="Tahoma" w:cs="Tahoma"/>
      <w:sz w:val="16"/>
      <w:szCs w:val="16"/>
    </w:rPr>
  </w:style>
  <w:style w:type="character" w:customStyle="1" w:styleId="Heading5Char">
    <w:name w:val="Heading 5 Char"/>
    <w:basedOn w:val="DefaultParagraphFont"/>
    <w:link w:val="Heading5"/>
    <w:uiPriority w:val="9"/>
    <w:rsid w:val="00DB55FF"/>
    <w:rPr>
      <w:rFonts w:ascii="Calibri" w:eastAsiaTheme="majorEastAsia" w:hAnsi="Calibri" w:cstheme="majorBidi"/>
      <w:sz w:val="20"/>
      <w:szCs w:val="28"/>
    </w:rPr>
  </w:style>
  <w:style w:type="paragraph" w:styleId="TOCHeading">
    <w:name w:val="TOC Heading"/>
    <w:basedOn w:val="Heading1"/>
    <w:next w:val="Normal"/>
    <w:uiPriority w:val="39"/>
    <w:unhideWhenUsed/>
    <w:qFormat/>
    <w:rsid w:val="00A327D4"/>
    <w:pPr>
      <w:tabs>
        <w:tab w:val="clear" w:pos="6120"/>
      </w:tabs>
      <w:bidi w:val="0"/>
      <w:spacing w:before="480" w:line="276" w:lineRule="auto"/>
      <w:ind w:firstLine="0"/>
      <w:jc w:val="left"/>
      <w:outlineLvl w:val="9"/>
    </w:pPr>
    <w:rPr>
      <w:rFonts w:cstheme="majorBidi"/>
      <w:b/>
      <w:color w:val="2E74B5" w:themeColor="accent1" w:themeShade="BF"/>
      <w:sz w:val="28"/>
      <w:szCs w:val="28"/>
      <w:lang w:eastAsia="ja-JP" w:bidi="ar-SA"/>
    </w:rPr>
  </w:style>
  <w:style w:type="paragraph" w:styleId="TOC2">
    <w:name w:val="toc 2"/>
    <w:basedOn w:val="Normal"/>
    <w:next w:val="Normal"/>
    <w:autoRedefine/>
    <w:uiPriority w:val="39"/>
    <w:unhideWhenUsed/>
    <w:qFormat/>
    <w:rsid w:val="00663515"/>
    <w:pPr>
      <w:spacing w:after="0"/>
      <w:ind w:left="280"/>
      <w:jc w:val="left"/>
    </w:pPr>
    <w:rPr>
      <w:rFonts w:asciiTheme="minorHAnsi" w:hAnsiTheme="minorHAnsi" w:cs="Times New Roman"/>
      <w:smallCaps/>
      <w:sz w:val="20"/>
      <w:szCs w:val="24"/>
    </w:rPr>
  </w:style>
  <w:style w:type="paragraph" w:styleId="TOC1">
    <w:name w:val="toc 1"/>
    <w:basedOn w:val="Normal"/>
    <w:next w:val="Normal"/>
    <w:autoRedefine/>
    <w:uiPriority w:val="39"/>
    <w:unhideWhenUsed/>
    <w:qFormat/>
    <w:rsid w:val="00663515"/>
    <w:pPr>
      <w:spacing w:before="120" w:after="120"/>
      <w:jc w:val="left"/>
    </w:pPr>
    <w:rPr>
      <w:rFonts w:asciiTheme="minorHAnsi" w:hAnsiTheme="minorHAnsi" w:cs="Times New Roman"/>
      <w:b/>
      <w:bCs/>
      <w:caps/>
      <w:sz w:val="20"/>
      <w:szCs w:val="24"/>
    </w:rPr>
  </w:style>
  <w:style w:type="paragraph" w:styleId="TOC3">
    <w:name w:val="toc 3"/>
    <w:basedOn w:val="Normal"/>
    <w:next w:val="Normal"/>
    <w:autoRedefine/>
    <w:uiPriority w:val="39"/>
    <w:unhideWhenUsed/>
    <w:qFormat/>
    <w:rsid w:val="00505B8A"/>
    <w:pPr>
      <w:tabs>
        <w:tab w:val="right" w:leader="dot" w:pos="7910"/>
      </w:tabs>
      <w:bidi/>
      <w:spacing w:after="0"/>
      <w:ind w:left="560"/>
      <w:jc w:val="left"/>
    </w:pPr>
    <w:rPr>
      <w:rFonts w:asciiTheme="minorHAnsi" w:hAnsiTheme="minorHAnsi" w:cs="B Nazanin"/>
      <w:i/>
      <w:iCs/>
      <w:noProof/>
      <w:sz w:val="24"/>
      <w:szCs w:val="24"/>
      <w:lang w:bidi="fa-IR"/>
    </w:rPr>
  </w:style>
  <w:style w:type="paragraph" w:styleId="TOC4">
    <w:name w:val="toc 4"/>
    <w:basedOn w:val="Normal"/>
    <w:next w:val="Normal"/>
    <w:autoRedefine/>
    <w:uiPriority w:val="39"/>
    <w:unhideWhenUsed/>
    <w:rsid w:val="00F57986"/>
    <w:pPr>
      <w:spacing w:after="0"/>
      <w:ind w:left="84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F57986"/>
    <w:pPr>
      <w:spacing w:after="0"/>
      <w:ind w:left="112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F57986"/>
    <w:pPr>
      <w:spacing w:after="0"/>
      <w:ind w:left="14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F57986"/>
    <w:pPr>
      <w:spacing w:after="0"/>
      <w:ind w:left="168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F57986"/>
    <w:pPr>
      <w:spacing w:after="0"/>
      <w:ind w:left="196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F57986"/>
    <w:pPr>
      <w:spacing w:after="0"/>
      <w:ind w:left="224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bitration.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ation-ic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w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C65A-B632-48C5-8C24-E1690344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Pages>
  <Words>20921</Words>
  <Characters>119250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Meisam Asgharzadeh</dc:creator>
  <cp:lastModifiedBy>Golnari</cp:lastModifiedBy>
  <cp:revision>90</cp:revision>
  <cp:lastPrinted>2015-05-11T09:14:00Z</cp:lastPrinted>
  <dcterms:created xsi:type="dcterms:W3CDTF">2014-08-30T16:39:00Z</dcterms:created>
  <dcterms:modified xsi:type="dcterms:W3CDTF">2015-05-11T09:35:00Z</dcterms:modified>
</cp:coreProperties>
</file>